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6D5A" w14:textId="736BCE48" w:rsidR="00D433EF" w:rsidRPr="00E15DD2" w:rsidRDefault="4BC8BB79" w:rsidP="00E15DD2">
      <w:pPr>
        <w:spacing w:line="240" w:lineRule="auto"/>
        <w:ind w:left="1440" w:firstLine="720"/>
        <w:rPr>
          <w:b/>
          <w:bCs/>
          <w:sz w:val="22"/>
          <w:szCs w:val="22"/>
        </w:rPr>
      </w:pPr>
      <w:r w:rsidRPr="00E15DD2">
        <w:rPr>
          <w:b/>
          <w:bCs/>
          <w:sz w:val="22"/>
          <w:szCs w:val="22"/>
        </w:rPr>
        <w:t xml:space="preserve">Global Matrix 5.0 </w:t>
      </w:r>
      <w:r w:rsidR="008B02C9" w:rsidRPr="00E15DD2">
        <w:rPr>
          <w:b/>
          <w:bCs/>
          <w:sz w:val="22"/>
          <w:szCs w:val="22"/>
        </w:rPr>
        <w:t>Frequently Asked Questions</w:t>
      </w:r>
    </w:p>
    <w:p w14:paraId="3069E955" w14:textId="77777777" w:rsidR="00DC2103" w:rsidRPr="00E15DD2" w:rsidRDefault="00DC2103" w:rsidP="00E15DD2">
      <w:pPr>
        <w:spacing w:line="240" w:lineRule="auto"/>
        <w:jc w:val="center"/>
        <w:rPr>
          <w:i/>
          <w:iCs/>
          <w:sz w:val="22"/>
          <w:szCs w:val="22"/>
        </w:rPr>
      </w:pPr>
      <w:r w:rsidRPr="00E15DD2">
        <w:rPr>
          <w:i/>
          <w:iCs/>
          <w:sz w:val="22"/>
          <w:szCs w:val="22"/>
        </w:rPr>
        <w:t>This is a living document that includes frequently asked questions by participating Report Card teams in the Global Matrix 5.0. Questions and answers will be updated and added as needed.</w:t>
      </w:r>
    </w:p>
    <w:p w14:paraId="095CD631" w14:textId="01398E03" w:rsidR="00DC2103" w:rsidRPr="00E15DD2" w:rsidRDefault="00DC2103" w:rsidP="00E15DD2">
      <w:pPr>
        <w:spacing w:line="240" w:lineRule="auto"/>
        <w:jc w:val="center"/>
        <w:rPr>
          <w:i/>
          <w:iCs/>
          <w:sz w:val="22"/>
          <w:szCs w:val="22"/>
        </w:rPr>
      </w:pPr>
      <w:r w:rsidRPr="00E15DD2">
        <w:rPr>
          <w:i/>
          <w:iCs/>
          <w:sz w:val="22"/>
          <w:szCs w:val="22"/>
        </w:rPr>
        <w:t>Last updated: September 30</w:t>
      </w:r>
      <w:r w:rsidRPr="00E15DD2">
        <w:rPr>
          <w:i/>
          <w:iCs/>
          <w:sz w:val="22"/>
          <w:szCs w:val="22"/>
          <w:vertAlign w:val="superscript"/>
        </w:rPr>
        <w:t>th</w:t>
      </w:r>
      <w:r w:rsidRPr="00E15DD2">
        <w:rPr>
          <w:i/>
          <w:iCs/>
          <w:sz w:val="22"/>
          <w:szCs w:val="22"/>
        </w:rPr>
        <w:t>, 2025</w:t>
      </w:r>
    </w:p>
    <w:sdt>
      <w:sdtPr>
        <w:rPr>
          <w:rFonts w:asciiTheme="minorHAnsi" w:eastAsiaTheme="minorEastAsia" w:hAnsiTheme="minorHAnsi" w:cstheme="minorBidi"/>
          <w:b w:val="0"/>
          <w:bCs w:val="0"/>
          <w:color w:val="auto"/>
          <w:sz w:val="22"/>
          <w:szCs w:val="22"/>
          <w:lang w:eastAsia="ja-JP"/>
        </w:rPr>
        <w:id w:val="-598489053"/>
        <w:docPartObj>
          <w:docPartGallery w:val="Table of Contents"/>
          <w:docPartUnique/>
        </w:docPartObj>
      </w:sdtPr>
      <w:sdtEndPr>
        <w:rPr>
          <w:noProof/>
        </w:rPr>
      </w:sdtEndPr>
      <w:sdtContent>
        <w:p w14:paraId="6A291E32" w14:textId="2FB60742" w:rsidR="00DC2103" w:rsidRPr="00E15DD2" w:rsidRDefault="00DC2103" w:rsidP="00E15DD2">
          <w:pPr>
            <w:pStyle w:val="TOCHeading"/>
            <w:spacing w:line="240" w:lineRule="auto"/>
            <w:rPr>
              <w:rFonts w:asciiTheme="minorHAnsi" w:hAnsiTheme="minorHAnsi"/>
              <w:sz w:val="22"/>
              <w:szCs w:val="22"/>
            </w:rPr>
          </w:pPr>
          <w:r w:rsidRPr="00E15DD2">
            <w:rPr>
              <w:rFonts w:asciiTheme="minorHAnsi" w:hAnsiTheme="minorHAnsi"/>
              <w:sz w:val="22"/>
              <w:szCs w:val="22"/>
            </w:rPr>
            <w:t>Table of Contents</w:t>
          </w:r>
        </w:p>
        <w:p w14:paraId="1BE4E17C" w14:textId="01839773" w:rsidR="00DC2103" w:rsidRPr="00E15DD2" w:rsidRDefault="00DC2103" w:rsidP="00E15DD2">
          <w:pPr>
            <w:pStyle w:val="TOC1"/>
            <w:tabs>
              <w:tab w:val="right" w:leader="dot" w:pos="9350"/>
            </w:tabs>
            <w:spacing w:line="240" w:lineRule="auto"/>
            <w:rPr>
              <w:noProof/>
              <w:sz w:val="22"/>
              <w:szCs w:val="22"/>
            </w:rPr>
          </w:pPr>
          <w:r w:rsidRPr="00E15DD2">
            <w:rPr>
              <w:b w:val="0"/>
              <w:bCs w:val="0"/>
              <w:sz w:val="22"/>
              <w:szCs w:val="22"/>
            </w:rPr>
            <w:fldChar w:fldCharType="begin"/>
          </w:r>
          <w:r w:rsidRPr="00E15DD2">
            <w:rPr>
              <w:sz w:val="22"/>
              <w:szCs w:val="22"/>
            </w:rPr>
            <w:instrText xml:space="preserve"> TOC \o "1-3" \h \z \u </w:instrText>
          </w:r>
          <w:r w:rsidRPr="00E15DD2">
            <w:rPr>
              <w:b w:val="0"/>
              <w:bCs w:val="0"/>
              <w:sz w:val="22"/>
              <w:szCs w:val="22"/>
            </w:rPr>
            <w:fldChar w:fldCharType="separate"/>
          </w:r>
          <w:hyperlink w:anchor="_Toc210113746" w:history="1">
            <w:r w:rsidRPr="00E15DD2">
              <w:rPr>
                <w:rStyle w:val="Hyperlink"/>
                <w:noProof/>
                <w:sz w:val="22"/>
                <w:szCs w:val="22"/>
              </w:rPr>
              <w:t>Data collection</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_Toc210113746 \h </w:instrText>
            </w:r>
            <w:r w:rsidRPr="00E15DD2">
              <w:rPr>
                <w:noProof/>
                <w:webHidden/>
                <w:sz w:val="22"/>
                <w:szCs w:val="22"/>
              </w:rPr>
            </w:r>
            <w:r w:rsidRPr="00E15DD2">
              <w:rPr>
                <w:noProof/>
                <w:webHidden/>
                <w:sz w:val="22"/>
                <w:szCs w:val="22"/>
              </w:rPr>
              <w:fldChar w:fldCharType="separate"/>
            </w:r>
            <w:r w:rsidRPr="00E15DD2">
              <w:rPr>
                <w:noProof/>
                <w:webHidden/>
                <w:sz w:val="22"/>
                <w:szCs w:val="22"/>
              </w:rPr>
              <w:t>1</w:t>
            </w:r>
            <w:r w:rsidRPr="00E15DD2">
              <w:rPr>
                <w:noProof/>
                <w:webHidden/>
                <w:sz w:val="22"/>
                <w:szCs w:val="22"/>
              </w:rPr>
              <w:fldChar w:fldCharType="end"/>
            </w:r>
          </w:hyperlink>
        </w:p>
        <w:p w14:paraId="36AB1CD4" w14:textId="64544745" w:rsidR="00DC2103" w:rsidRPr="00E15DD2" w:rsidRDefault="00DC2103" w:rsidP="00E15DD2">
          <w:pPr>
            <w:pStyle w:val="TOC1"/>
            <w:tabs>
              <w:tab w:val="right" w:leader="dot" w:pos="9350"/>
            </w:tabs>
            <w:spacing w:line="240" w:lineRule="auto"/>
            <w:rPr>
              <w:noProof/>
              <w:sz w:val="22"/>
              <w:szCs w:val="22"/>
            </w:rPr>
          </w:pPr>
          <w:hyperlink w:anchor="_Toc210113747" w:history="1">
            <w:r w:rsidRPr="00E15DD2">
              <w:rPr>
                <w:rStyle w:val="Hyperlink"/>
                <w:noProof/>
                <w:sz w:val="22"/>
                <w:szCs w:val="22"/>
              </w:rPr>
              <w:t>Grading</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_Toc210113747 \h </w:instrText>
            </w:r>
            <w:r w:rsidRPr="00E15DD2">
              <w:rPr>
                <w:noProof/>
                <w:webHidden/>
                <w:sz w:val="22"/>
                <w:szCs w:val="22"/>
              </w:rPr>
            </w:r>
            <w:r w:rsidRPr="00E15DD2">
              <w:rPr>
                <w:noProof/>
                <w:webHidden/>
                <w:sz w:val="22"/>
                <w:szCs w:val="22"/>
              </w:rPr>
              <w:fldChar w:fldCharType="separate"/>
            </w:r>
            <w:r w:rsidRPr="00E15DD2">
              <w:rPr>
                <w:noProof/>
                <w:webHidden/>
                <w:sz w:val="22"/>
                <w:szCs w:val="22"/>
              </w:rPr>
              <w:t>1</w:t>
            </w:r>
            <w:r w:rsidRPr="00E15DD2">
              <w:rPr>
                <w:noProof/>
                <w:webHidden/>
                <w:sz w:val="22"/>
                <w:szCs w:val="22"/>
              </w:rPr>
              <w:fldChar w:fldCharType="end"/>
            </w:r>
          </w:hyperlink>
        </w:p>
        <w:p w14:paraId="5D7DAF21" w14:textId="5E7BF095" w:rsidR="00DC2103" w:rsidRPr="00E15DD2" w:rsidRDefault="00DC2103" w:rsidP="00E15DD2">
          <w:pPr>
            <w:pStyle w:val="TOC1"/>
            <w:tabs>
              <w:tab w:val="right" w:leader="dot" w:pos="9350"/>
            </w:tabs>
            <w:spacing w:line="240" w:lineRule="auto"/>
            <w:rPr>
              <w:noProof/>
              <w:sz w:val="22"/>
              <w:szCs w:val="22"/>
            </w:rPr>
          </w:pPr>
          <w:hyperlink w:anchor="_Toc210113748" w:history="1">
            <w:r w:rsidRPr="00E15DD2">
              <w:rPr>
                <w:rStyle w:val="Hyperlink"/>
                <w:noProof/>
                <w:sz w:val="22"/>
                <w:szCs w:val="22"/>
              </w:rPr>
              <w:t>Audit Process</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_Toc210113748 \h </w:instrText>
            </w:r>
            <w:r w:rsidRPr="00E15DD2">
              <w:rPr>
                <w:noProof/>
                <w:webHidden/>
                <w:sz w:val="22"/>
                <w:szCs w:val="22"/>
              </w:rPr>
            </w:r>
            <w:r w:rsidRPr="00E15DD2">
              <w:rPr>
                <w:noProof/>
                <w:webHidden/>
                <w:sz w:val="22"/>
                <w:szCs w:val="22"/>
              </w:rPr>
              <w:fldChar w:fldCharType="separate"/>
            </w:r>
            <w:r w:rsidRPr="00E15DD2">
              <w:rPr>
                <w:noProof/>
                <w:webHidden/>
                <w:sz w:val="22"/>
                <w:szCs w:val="22"/>
              </w:rPr>
              <w:t>2</w:t>
            </w:r>
            <w:r w:rsidRPr="00E15DD2">
              <w:rPr>
                <w:noProof/>
                <w:webHidden/>
                <w:sz w:val="22"/>
                <w:szCs w:val="22"/>
              </w:rPr>
              <w:fldChar w:fldCharType="end"/>
            </w:r>
          </w:hyperlink>
        </w:p>
        <w:p w14:paraId="39B47515" w14:textId="73FACD27" w:rsidR="00DC2103" w:rsidRPr="00E15DD2" w:rsidRDefault="00DC2103" w:rsidP="00E15DD2">
          <w:pPr>
            <w:pStyle w:val="TOC1"/>
            <w:tabs>
              <w:tab w:val="right" w:leader="dot" w:pos="9350"/>
            </w:tabs>
            <w:spacing w:line="240" w:lineRule="auto"/>
            <w:rPr>
              <w:noProof/>
              <w:sz w:val="22"/>
              <w:szCs w:val="22"/>
            </w:rPr>
          </w:pPr>
          <w:hyperlink w:anchor="_Toc210113749" w:history="1">
            <w:r w:rsidRPr="00E15DD2">
              <w:rPr>
                <w:rStyle w:val="Hyperlink"/>
                <w:noProof/>
                <w:sz w:val="22"/>
                <w:szCs w:val="22"/>
              </w:rPr>
              <w:t>Global Matrix 5.0 Publication Plan</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_Toc210113749 \h </w:instrText>
            </w:r>
            <w:r w:rsidRPr="00E15DD2">
              <w:rPr>
                <w:noProof/>
                <w:webHidden/>
                <w:sz w:val="22"/>
                <w:szCs w:val="22"/>
              </w:rPr>
            </w:r>
            <w:r w:rsidRPr="00E15DD2">
              <w:rPr>
                <w:noProof/>
                <w:webHidden/>
                <w:sz w:val="22"/>
                <w:szCs w:val="22"/>
              </w:rPr>
              <w:fldChar w:fldCharType="separate"/>
            </w:r>
            <w:r w:rsidRPr="00E15DD2">
              <w:rPr>
                <w:noProof/>
                <w:webHidden/>
                <w:sz w:val="22"/>
                <w:szCs w:val="22"/>
              </w:rPr>
              <w:t>2</w:t>
            </w:r>
            <w:r w:rsidRPr="00E15DD2">
              <w:rPr>
                <w:noProof/>
                <w:webHidden/>
                <w:sz w:val="22"/>
                <w:szCs w:val="22"/>
              </w:rPr>
              <w:fldChar w:fldCharType="end"/>
            </w:r>
          </w:hyperlink>
        </w:p>
        <w:p w14:paraId="5AFC7647" w14:textId="681C88B5" w:rsidR="00DC2103" w:rsidRPr="00E15DD2" w:rsidRDefault="00DC2103" w:rsidP="00E15DD2">
          <w:pPr>
            <w:pStyle w:val="TOC1"/>
            <w:tabs>
              <w:tab w:val="right" w:leader="dot" w:pos="9350"/>
            </w:tabs>
            <w:spacing w:line="240" w:lineRule="auto"/>
            <w:rPr>
              <w:noProof/>
              <w:sz w:val="22"/>
              <w:szCs w:val="22"/>
            </w:rPr>
          </w:pPr>
          <w:hyperlink w:anchor="_Toc210113750" w:history="1">
            <w:r w:rsidRPr="00E15DD2">
              <w:rPr>
                <w:rStyle w:val="Hyperlink"/>
                <w:noProof/>
                <w:sz w:val="22"/>
                <w:szCs w:val="22"/>
              </w:rPr>
              <w:t>Publishing independent papers</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_Toc210113750 \h </w:instrText>
            </w:r>
            <w:r w:rsidRPr="00E15DD2">
              <w:rPr>
                <w:noProof/>
                <w:webHidden/>
                <w:sz w:val="22"/>
                <w:szCs w:val="22"/>
              </w:rPr>
            </w:r>
            <w:r w:rsidRPr="00E15DD2">
              <w:rPr>
                <w:noProof/>
                <w:webHidden/>
                <w:sz w:val="22"/>
                <w:szCs w:val="22"/>
              </w:rPr>
              <w:fldChar w:fldCharType="separate"/>
            </w:r>
            <w:r w:rsidRPr="00E15DD2">
              <w:rPr>
                <w:noProof/>
                <w:webHidden/>
                <w:sz w:val="22"/>
                <w:szCs w:val="22"/>
              </w:rPr>
              <w:t>3</w:t>
            </w:r>
            <w:r w:rsidRPr="00E15DD2">
              <w:rPr>
                <w:noProof/>
                <w:webHidden/>
                <w:sz w:val="22"/>
                <w:szCs w:val="22"/>
              </w:rPr>
              <w:fldChar w:fldCharType="end"/>
            </w:r>
          </w:hyperlink>
        </w:p>
        <w:p w14:paraId="22525EDB" w14:textId="3067BF21" w:rsidR="00DC2103" w:rsidRPr="00E15DD2" w:rsidRDefault="00DC2103" w:rsidP="00E15DD2">
          <w:pPr>
            <w:pStyle w:val="TOC1"/>
            <w:tabs>
              <w:tab w:val="right" w:leader="dot" w:pos="9350"/>
            </w:tabs>
            <w:spacing w:line="240" w:lineRule="auto"/>
            <w:rPr>
              <w:noProof/>
              <w:sz w:val="22"/>
              <w:szCs w:val="22"/>
            </w:rPr>
          </w:pPr>
          <w:hyperlink w:anchor="_Toc210113751" w:history="1">
            <w:r w:rsidRPr="00E15DD2">
              <w:rPr>
                <w:rStyle w:val="Hyperlink"/>
                <w:noProof/>
                <w:sz w:val="22"/>
                <w:szCs w:val="22"/>
              </w:rPr>
              <w:t>Report card development</w:t>
            </w:r>
            <w:r w:rsidRPr="00E15DD2">
              <w:rPr>
                <w:noProof/>
                <w:webHidden/>
                <w:sz w:val="22"/>
                <w:szCs w:val="22"/>
              </w:rPr>
              <w:tab/>
            </w:r>
            <w:r w:rsidRPr="00E15DD2">
              <w:rPr>
                <w:noProof/>
                <w:webHidden/>
                <w:sz w:val="22"/>
                <w:szCs w:val="22"/>
              </w:rPr>
              <w:fldChar w:fldCharType="begin"/>
            </w:r>
            <w:r w:rsidRPr="00E15DD2">
              <w:rPr>
                <w:noProof/>
                <w:webHidden/>
                <w:sz w:val="22"/>
                <w:szCs w:val="22"/>
              </w:rPr>
              <w:instrText xml:space="preserve"> PAGEREF _Toc210113751 \h </w:instrText>
            </w:r>
            <w:r w:rsidRPr="00E15DD2">
              <w:rPr>
                <w:noProof/>
                <w:webHidden/>
                <w:sz w:val="22"/>
                <w:szCs w:val="22"/>
              </w:rPr>
            </w:r>
            <w:r w:rsidRPr="00E15DD2">
              <w:rPr>
                <w:noProof/>
                <w:webHidden/>
                <w:sz w:val="22"/>
                <w:szCs w:val="22"/>
              </w:rPr>
              <w:fldChar w:fldCharType="separate"/>
            </w:r>
            <w:r w:rsidRPr="00E15DD2">
              <w:rPr>
                <w:noProof/>
                <w:webHidden/>
                <w:sz w:val="22"/>
                <w:szCs w:val="22"/>
              </w:rPr>
              <w:t>3</w:t>
            </w:r>
            <w:r w:rsidRPr="00E15DD2">
              <w:rPr>
                <w:noProof/>
                <w:webHidden/>
                <w:sz w:val="22"/>
                <w:szCs w:val="22"/>
              </w:rPr>
              <w:fldChar w:fldCharType="end"/>
            </w:r>
          </w:hyperlink>
        </w:p>
        <w:p w14:paraId="0FB7C691" w14:textId="1809C0C4" w:rsidR="00D433EF" w:rsidRPr="00E15DD2" w:rsidRDefault="00DC2103" w:rsidP="00E15DD2">
          <w:pPr>
            <w:spacing w:line="240" w:lineRule="auto"/>
            <w:rPr>
              <w:sz w:val="22"/>
              <w:szCs w:val="22"/>
            </w:rPr>
          </w:pPr>
          <w:r w:rsidRPr="00E15DD2">
            <w:rPr>
              <w:b/>
              <w:bCs/>
              <w:noProof/>
              <w:sz w:val="22"/>
              <w:szCs w:val="22"/>
            </w:rPr>
            <w:fldChar w:fldCharType="end"/>
          </w:r>
        </w:p>
      </w:sdtContent>
    </w:sdt>
    <w:p w14:paraId="5518ECDE" w14:textId="5B2A356F" w:rsidR="00D433EF" w:rsidRPr="00E15DD2" w:rsidRDefault="008B02C9" w:rsidP="00E15DD2">
      <w:pPr>
        <w:pStyle w:val="Heading1"/>
        <w:spacing w:line="240" w:lineRule="auto"/>
        <w:rPr>
          <w:rFonts w:asciiTheme="minorHAnsi" w:hAnsiTheme="minorHAnsi"/>
          <w:sz w:val="36"/>
          <w:szCs w:val="36"/>
        </w:rPr>
      </w:pPr>
      <w:bookmarkStart w:id="0" w:name="_Toc210113746"/>
      <w:r w:rsidRPr="00E15DD2">
        <w:rPr>
          <w:rFonts w:asciiTheme="minorHAnsi" w:hAnsiTheme="minorHAnsi"/>
          <w:sz w:val="36"/>
          <w:szCs w:val="36"/>
        </w:rPr>
        <w:t>Data collection</w:t>
      </w:r>
      <w:bookmarkEnd w:id="0"/>
    </w:p>
    <w:p w14:paraId="7F259D09"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Is there any guidance document (e.g., search terms) on how to search for evidence on key and additional indicators (e.g., obesity, mental health)?</w:t>
      </w:r>
    </w:p>
    <w:p w14:paraId="6106670A" w14:textId="77777777" w:rsidR="008B02C9" w:rsidRPr="00E15DD2" w:rsidRDefault="008B02C9" w:rsidP="00E15DD2">
      <w:pPr>
        <w:spacing w:line="240" w:lineRule="auto"/>
        <w:rPr>
          <w:color w:val="000000" w:themeColor="text1"/>
          <w:sz w:val="22"/>
          <w:szCs w:val="22"/>
        </w:rPr>
      </w:pPr>
      <w:r w:rsidRPr="00E15DD2">
        <w:rPr>
          <w:color w:val="000000" w:themeColor="text1"/>
          <w:sz w:val="22"/>
          <w:szCs w:val="22"/>
        </w:rPr>
        <w:t>A: The AHKGA does not have a specific document or predefined search terms. Report Card teams have the flexibility to apply their own search strategies based on the context. Other countries/jurisdictions' Report Card documents (www. activehealthykids.org/archive) and scientific papers (e.g., systematic reviews conducted for Brazil’s Report Card - https://www.activehealthykids.org/2021/12/13/brazil-publishes-updated-systematic-reviews-for-brazils-report-card/) can be helpful examples.</w:t>
      </w:r>
    </w:p>
    <w:p w14:paraId="1EE2D582" w14:textId="77777777" w:rsidR="008B02C9" w:rsidRPr="00E15DD2" w:rsidRDefault="008B02C9" w:rsidP="00E15DD2">
      <w:pPr>
        <w:spacing w:line="240" w:lineRule="auto"/>
        <w:rPr>
          <w:color w:val="000000" w:themeColor="text1"/>
          <w:sz w:val="22"/>
          <w:szCs w:val="22"/>
        </w:rPr>
      </w:pPr>
    </w:p>
    <w:p w14:paraId="5D18BC62" w14:textId="1EB9E86B" w:rsidR="00D22ADF" w:rsidRPr="00E15DD2" w:rsidRDefault="00D433EF" w:rsidP="00E15DD2">
      <w:pPr>
        <w:pStyle w:val="Heading1"/>
        <w:spacing w:line="240" w:lineRule="auto"/>
        <w:rPr>
          <w:rFonts w:asciiTheme="minorHAnsi" w:hAnsiTheme="minorHAnsi"/>
          <w:sz w:val="36"/>
          <w:szCs w:val="36"/>
        </w:rPr>
      </w:pPr>
      <w:bookmarkStart w:id="1" w:name="_Toc210113747"/>
      <w:r w:rsidRPr="00E15DD2">
        <w:rPr>
          <w:rFonts w:asciiTheme="minorHAnsi" w:hAnsiTheme="minorHAnsi"/>
          <w:sz w:val="36"/>
          <w:szCs w:val="36"/>
        </w:rPr>
        <w:t>Grading</w:t>
      </w:r>
      <w:bookmarkEnd w:id="1"/>
    </w:p>
    <w:p w14:paraId="4EA7B37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 xml:space="preserve">Q: Is the grading rubric for the Global Matrix 5.0 the same as for previous editions? </w:t>
      </w:r>
    </w:p>
    <w:p w14:paraId="129BE5EC" w14:textId="77777777" w:rsidR="008B02C9" w:rsidRPr="00E15DD2" w:rsidRDefault="008B02C9" w:rsidP="00E15DD2">
      <w:pPr>
        <w:spacing w:line="240" w:lineRule="auto"/>
        <w:rPr>
          <w:sz w:val="22"/>
          <w:szCs w:val="22"/>
        </w:rPr>
      </w:pPr>
      <w:r w:rsidRPr="00E15DD2">
        <w:rPr>
          <w:color w:val="000000" w:themeColor="text1"/>
          <w:sz w:val="22"/>
          <w:szCs w:val="22"/>
        </w:rPr>
        <w:t xml:space="preserve">A: Yes, the grading rubric remains the same. It is available here: </w:t>
      </w:r>
      <w:hyperlink r:id="rId6" w:history="1">
        <w:r w:rsidRPr="00E15DD2">
          <w:rPr>
            <w:rStyle w:val="Hyperlink"/>
            <w:sz w:val="22"/>
            <w:szCs w:val="22"/>
          </w:rPr>
          <w:t>https://drive.google.com/file/d/1ehbCA5m5vVvs3Eu8NzsWVpDgAuRxDhXM/view</w:t>
        </w:r>
      </w:hyperlink>
    </w:p>
    <w:p w14:paraId="4DA5B556"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Should a country/jurisdiction submit grades and rationales for additional indicators, such as Diet or Sleep, for audit by the AHKGA?</w:t>
      </w:r>
    </w:p>
    <w:p w14:paraId="18213973" w14:textId="02F9A8E9" w:rsidR="008B02C9" w:rsidRPr="00E15DD2" w:rsidRDefault="008B02C9" w:rsidP="00E15DD2">
      <w:pPr>
        <w:spacing w:line="240" w:lineRule="auto"/>
        <w:rPr>
          <w:color w:val="000000" w:themeColor="text1"/>
          <w:sz w:val="22"/>
          <w:szCs w:val="22"/>
        </w:rPr>
      </w:pPr>
      <w:r w:rsidRPr="00E15DD2">
        <w:rPr>
          <w:color w:val="000000" w:themeColor="text1"/>
          <w:sz w:val="22"/>
          <w:szCs w:val="22"/>
        </w:rPr>
        <w:t xml:space="preserve">A: We encourage you to include grades and rationales in the template for any additional indicators (i.e., any indicators outside of the core set of 10 Global Matrix indicators that you plan to feature in your Report Card). However, please note that the AHKGA will not be able to audit the grades for these indicators, as there are currently no standardized definitions and benchmarks for them. Even so, such information on additional indicators is valuable for providing a broader picture and supporting future Global Matrix planning. </w:t>
      </w:r>
      <w:proofErr w:type="gramStart"/>
      <w:r w:rsidRPr="00E15DD2">
        <w:rPr>
          <w:color w:val="000000" w:themeColor="text1"/>
          <w:sz w:val="22"/>
          <w:szCs w:val="22"/>
        </w:rPr>
        <w:t>In particular, Sleep</w:t>
      </w:r>
      <w:proofErr w:type="gramEnd"/>
      <w:r w:rsidRPr="00E15DD2">
        <w:rPr>
          <w:color w:val="000000" w:themeColor="text1"/>
          <w:sz w:val="22"/>
          <w:szCs w:val="22"/>
        </w:rPr>
        <w:t xml:space="preserve"> is called an “indicator in training” in </w:t>
      </w:r>
      <w:r w:rsidRPr="00E15DD2">
        <w:rPr>
          <w:color w:val="000000" w:themeColor="text1"/>
          <w:sz w:val="22"/>
          <w:szCs w:val="22"/>
        </w:rPr>
        <w:lastRenderedPageBreak/>
        <w:t>the Global Matrix 5.0 since many countries expressed interest in evaluating it and supported the consideration of its potential addition to the core set of indicators in the future.</w:t>
      </w:r>
    </w:p>
    <w:p w14:paraId="44061C69" w14:textId="77777777" w:rsidR="008B02C9" w:rsidRPr="00E15DD2" w:rsidRDefault="008B02C9" w:rsidP="00E15DD2">
      <w:pPr>
        <w:spacing w:line="240" w:lineRule="auto"/>
        <w:rPr>
          <w:b/>
          <w:bCs/>
          <w:sz w:val="22"/>
          <w:szCs w:val="22"/>
        </w:rPr>
      </w:pPr>
      <w:r w:rsidRPr="00E15DD2">
        <w:rPr>
          <w:b/>
          <w:bCs/>
          <w:sz w:val="22"/>
          <w:szCs w:val="22"/>
        </w:rPr>
        <w:t>Q: Is there a standardized approach to the number of benchmarks used when grading an indicator?</w:t>
      </w:r>
    </w:p>
    <w:p w14:paraId="774289A7" w14:textId="4502E277" w:rsidR="008B02C9" w:rsidRPr="00E15DD2" w:rsidRDefault="008B02C9" w:rsidP="00E15DD2">
      <w:pPr>
        <w:spacing w:line="240" w:lineRule="auto"/>
        <w:rPr>
          <w:sz w:val="22"/>
          <w:szCs w:val="22"/>
        </w:rPr>
      </w:pPr>
      <w:r w:rsidRPr="00E15DD2">
        <w:rPr>
          <w:sz w:val="22"/>
          <w:szCs w:val="22"/>
        </w:rPr>
        <w:t xml:space="preserve">A: We encourage countries/jurisdictions to gather all relevant, good-quality data to address as many benchmarks as possible for each indicator. The usual approach is to average across the benchmarks you </w:t>
      </w:r>
      <w:proofErr w:type="gramStart"/>
      <w:r w:rsidRPr="00E15DD2">
        <w:rPr>
          <w:sz w:val="22"/>
          <w:szCs w:val="22"/>
        </w:rPr>
        <w:t>are able to</w:t>
      </w:r>
      <w:proofErr w:type="gramEnd"/>
      <w:r w:rsidRPr="00E15DD2">
        <w:rPr>
          <w:sz w:val="22"/>
          <w:szCs w:val="22"/>
        </w:rPr>
        <w:t xml:space="preserve"> address. However, there is no uniform method, as situations vary greatly across countries. </w:t>
      </w:r>
    </w:p>
    <w:p w14:paraId="6C4B54F2" w14:textId="77777777" w:rsidR="008B02C9" w:rsidRPr="00E15DD2" w:rsidRDefault="008B02C9" w:rsidP="00E15DD2">
      <w:pPr>
        <w:spacing w:line="240" w:lineRule="auto"/>
        <w:rPr>
          <w:b/>
          <w:bCs/>
          <w:sz w:val="22"/>
          <w:szCs w:val="22"/>
        </w:rPr>
      </w:pPr>
      <w:r w:rsidRPr="00E15DD2">
        <w:rPr>
          <w:b/>
          <w:bCs/>
          <w:sz w:val="22"/>
          <w:szCs w:val="22"/>
        </w:rPr>
        <w:t>Q: Should data on children and adolescents with disabilities (CAWD) be included in the overall grade for an indicator?</w:t>
      </w:r>
    </w:p>
    <w:p w14:paraId="2106B217" w14:textId="4AAED8CB" w:rsidR="008B02C9" w:rsidRPr="00E15DD2" w:rsidRDefault="00E15DD2" w:rsidP="00E15DD2">
      <w:pPr>
        <w:spacing w:line="240" w:lineRule="auto"/>
        <w:rPr>
          <w:sz w:val="22"/>
          <w:szCs w:val="22"/>
        </w:rPr>
      </w:pPr>
      <w:r w:rsidRPr="00E15DD2">
        <w:rPr>
          <w:sz w:val="22"/>
          <w:szCs w:val="22"/>
        </w:rPr>
        <w:t xml:space="preserve">A: </w:t>
      </w:r>
      <w:r w:rsidR="008B02C9" w:rsidRPr="00E15DD2">
        <w:rPr>
          <w:sz w:val="22"/>
          <w:szCs w:val="22"/>
        </w:rPr>
        <w:t>The AHKGA recommends that countries/jurisdictions report:</w:t>
      </w:r>
    </w:p>
    <w:p w14:paraId="18EADEAB" w14:textId="77777777" w:rsidR="008B02C9" w:rsidRPr="00E15DD2" w:rsidRDefault="008B02C9" w:rsidP="00E15DD2">
      <w:pPr>
        <w:spacing w:line="240" w:lineRule="auto"/>
        <w:rPr>
          <w:sz w:val="22"/>
          <w:szCs w:val="22"/>
        </w:rPr>
      </w:pPr>
      <w:r w:rsidRPr="00E15DD2">
        <w:rPr>
          <w:sz w:val="22"/>
          <w:szCs w:val="22"/>
        </w:rPr>
        <w:t>• The main overall grade for each of the 10 core indicators based on your best available evidence, which would hopefully include children and adolescents with disabilities or chronic conditions as a part of population-based samples</w:t>
      </w:r>
    </w:p>
    <w:p w14:paraId="528C99A1" w14:textId="77777777" w:rsidR="00E15DD2" w:rsidRPr="00E15DD2" w:rsidRDefault="008B02C9" w:rsidP="00E15DD2">
      <w:pPr>
        <w:pStyle w:val="NormalWeb"/>
        <w:shd w:val="clear" w:color="auto" w:fill="FFFFFF"/>
        <w:spacing w:before="0" w:beforeAutospacing="0" w:after="0" w:afterAutospacing="0"/>
        <w:rPr>
          <w:rFonts w:asciiTheme="minorHAnsi" w:hAnsiTheme="minorHAnsi"/>
          <w:color w:val="242424"/>
          <w:sz w:val="22"/>
          <w:szCs w:val="22"/>
        </w:rPr>
      </w:pPr>
      <w:r w:rsidRPr="00E15DD2">
        <w:rPr>
          <w:rFonts w:asciiTheme="minorHAnsi" w:hAnsiTheme="minorHAnsi"/>
          <w:sz w:val="22"/>
          <w:szCs w:val="22"/>
        </w:rPr>
        <w:t>• Subgrades for each of the 10 core indicators based on your best available evidence for children and adolescents with disabilities/chronic conditions</w:t>
      </w:r>
      <w:r w:rsidR="005F0860" w:rsidRPr="00E15DD2">
        <w:rPr>
          <w:rFonts w:asciiTheme="minorHAnsi" w:hAnsiTheme="minorHAnsi"/>
          <w:sz w:val="22"/>
          <w:szCs w:val="22"/>
        </w:rPr>
        <w:t>.</w:t>
      </w:r>
      <w:r w:rsidR="00865A2E" w:rsidRPr="00E15DD2">
        <w:rPr>
          <w:rFonts w:asciiTheme="minorHAnsi" w:hAnsiTheme="minorHAnsi"/>
          <w:color w:val="242424"/>
          <w:sz w:val="22"/>
          <w:szCs w:val="22"/>
        </w:rPr>
        <w:t xml:space="preserve"> </w:t>
      </w:r>
    </w:p>
    <w:p w14:paraId="388D403B"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rPr>
      </w:pPr>
    </w:p>
    <w:p w14:paraId="55EE204C" w14:textId="76EE8C67" w:rsidR="009A4187" w:rsidRPr="00E15DD2" w:rsidRDefault="009A4187" w:rsidP="00E15DD2">
      <w:pPr>
        <w:pStyle w:val="NormalWeb"/>
        <w:shd w:val="clear" w:color="auto" w:fill="FFFFFF"/>
        <w:spacing w:before="0" w:beforeAutospacing="0" w:after="0" w:afterAutospacing="0"/>
        <w:rPr>
          <w:rFonts w:asciiTheme="minorHAnsi" w:hAnsiTheme="minorHAnsi"/>
          <w:sz w:val="22"/>
          <w:szCs w:val="22"/>
        </w:rPr>
      </w:pPr>
      <w:r w:rsidRPr="00E15DD2">
        <w:rPr>
          <w:rFonts w:asciiTheme="minorHAnsi" w:hAnsiTheme="minorHAnsi"/>
          <w:b/>
          <w:bCs/>
          <w:sz w:val="22"/>
          <w:szCs w:val="22"/>
        </w:rPr>
        <w:t>Q: If we have data for the early years age group (under 5 years), should it be included</w:t>
      </w:r>
      <w:r w:rsidRPr="00E15DD2">
        <w:rPr>
          <w:rFonts w:asciiTheme="minorHAnsi" w:hAnsiTheme="minorHAnsi"/>
          <w:sz w:val="22"/>
          <w:szCs w:val="22"/>
        </w:rPr>
        <w:t>?</w:t>
      </w:r>
    </w:p>
    <w:p w14:paraId="2B59E0BF" w14:textId="77777777" w:rsidR="009A4187" w:rsidRPr="00E15DD2" w:rsidRDefault="009A4187" w:rsidP="00E15DD2">
      <w:pPr>
        <w:pStyle w:val="NormalWeb"/>
        <w:shd w:val="clear" w:color="auto" w:fill="FFFFFF"/>
        <w:spacing w:before="0" w:beforeAutospacing="0" w:after="0" w:afterAutospacing="0"/>
        <w:rPr>
          <w:rFonts w:asciiTheme="minorHAnsi" w:hAnsiTheme="minorHAnsi"/>
          <w:sz w:val="22"/>
          <w:szCs w:val="22"/>
        </w:rPr>
      </w:pPr>
    </w:p>
    <w:p w14:paraId="45FCAF1D"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r w:rsidRPr="00E15DD2">
        <w:rPr>
          <w:rFonts w:asciiTheme="minorHAnsi" w:hAnsiTheme="minorHAnsi"/>
          <w:color w:val="242424"/>
          <w:sz w:val="22"/>
          <w:szCs w:val="22"/>
          <w:bdr w:val="none" w:sz="0" w:space="0" w:color="auto" w:frame="1"/>
        </w:rPr>
        <w:t xml:space="preserve">A: </w:t>
      </w:r>
      <w:r w:rsidR="009A4187" w:rsidRPr="00E15DD2">
        <w:rPr>
          <w:rFonts w:asciiTheme="minorHAnsi" w:hAnsiTheme="minorHAnsi"/>
          <w:color w:val="242424"/>
          <w:sz w:val="22"/>
          <w:szCs w:val="22"/>
          <w:bdr w:val="none" w:sz="0" w:space="0" w:color="auto" w:frame="1"/>
        </w:rPr>
        <w:t>The </w:t>
      </w:r>
      <w:r w:rsidR="009A4187" w:rsidRPr="00E15DD2">
        <w:rPr>
          <w:rStyle w:val="mark64g840qg7"/>
          <w:rFonts w:asciiTheme="minorHAnsi" w:eastAsiaTheme="majorEastAsia" w:hAnsiTheme="minorHAnsi"/>
          <w:color w:val="242424"/>
          <w:sz w:val="22"/>
          <w:szCs w:val="22"/>
          <w:bdr w:val="none" w:sz="0" w:space="0" w:color="auto" w:frame="1"/>
        </w:rPr>
        <w:t>early</w:t>
      </w:r>
      <w:r w:rsidR="009A4187" w:rsidRPr="00E15DD2">
        <w:rPr>
          <w:rFonts w:asciiTheme="minorHAnsi" w:hAnsiTheme="minorHAnsi"/>
          <w:color w:val="242424"/>
          <w:sz w:val="22"/>
          <w:szCs w:val="22"/>
          <w:bdr w:val="none" w:sz="0" w:space="0" w:color="auto" w:frame="1"/>
        </w:rPr>
        <w:t> </w:t>
      </w:r>
      <w:r w:rsidR="009A4187" w:rsidRPr="00E15DD2">
        <w:rPr>
          <w:rStyle w:val="mark0vmzt5egt"/>
          <w:rFonts w:asciiTheme="minorHAnsi" w:eastAsiaTheme="majorEastAsia" w:hAnsiTheme="minorHAnsi"/>
          <w:color w:val="242424"/>
          <w:sz w:val="22"/>
          <w:szCs w:val="22"/>
          <w:bdr w:val="none" w:sz="0" w:space="0" w:color="auto" w:frame="1"/>
        </w:rPr>
        <w:t>year</w:t>
      </w:r>
      <w:r w:rsidR="009A4187" w:rsidRPr="00E15DD2">
        <w:rPr>
          <w:rStyle w:val="markvtmo8smuc"/>
          <w:rFonts w:asciiTheme="minorHAnsi" w:eastAsiaTheme="majorEastAsia" w:hAnsiTheme="minorHAnsi"/>
          <w:color w:val="242424"/>
          <w:sz w:val="22"/>
          <w:szCs w:val="22"/>
          <w:bdr w:val="none" w:sz="0" w:space="0" w:color="auto" w:frame="1"/>
        </w:rPr>
        <w:t>s</w:t>
      </w:r>
      <w:r w:rsidR="009A4187" w:rsidRPr="00E15DD2">
        <w:rPr>
          <w:rFonts w:asciiTheme="minorHAnsi" w:hAnsiTheme="minorHAnsi"/>
          <w:color w:val="242424"/>
          <w:sz w:val="22"/>
          <w:szCs w:val="22"/>
          <w:bdr w:val="none" w:sz="0" w:space="0" w:color="auto" w:frame="1"/>
        </w:rPr>
        <w:t> (under 5 </w:t>
      </w:r>
      <w:r w:rsidR="009A4187" w:rsidRPr="00E15DD2">
        <w:rPr>
          <w:rStyle w:val="mark0vmzt5egt"/>
          <w:rFonts w:asciiTheme="minorHAnsi" w:eastAsiaTheme="majorEastAsia" w:hAnsiTheme="minorHAnsi"/>
          <w:color w:val="242424"/>
          <w:sz w:val="22"/>
          <w:szCs w:val="22"/>
          <w:bdr w:val="none" w:sz="0" w:space="0" w:color="auto" w:frame="1"/>
        </w:rPr>
        <w:t>year</w:t>
      </w:r>
      <w:r w:rsidR="009A4187" w:rsidRPr="00E15DD2">
        <w:rPr>
          <w:rStyle w:val="markvtmo8smuc"/>
          <w:rFonts w:asciiTheme="minorHAnsi" w:eastAsiaTheme="majorEastAsia" w:hAnsiTheme="minorHAnsi"/>
          <w:color w:val="242424"/>
          <w:sz w:val="22"/>
          <w:szCs w:val="22"/>
          <w:bdr w:val="none" w:sz="0" w:space="0" w:color="auto" w:frame="1"/>
        </w:rPr>
        <w:t>s</w:t>
      </w:r>
      <w:r w:rsidR="009A4187" w:rsidRPr="00E15DD2">
        <w:rPr>
          <w:rFonts w:asciiTheme="minorHAnsi" w:hAnsiTheme="minorHAnsi"/>
          <w:color w:val="242424"/>
          <w:sz w:val="22"/>
          <w:szCs w:val="22"/>
          <w:bdr w:val="none" w:sz="0" w:space="0" w:color="auto" w:frame="1"/>
        </w:rPr>
        <w:t> old) are not included in the Global Matrix 5.0 (maybe this will change in the future), but countries/jurisdictions are free to include them in their Report Card document and article.</w:t>
      </w:r>
    </w:p>
    <w:p w14:paraId="0E36B2DF" w14:textId="77777777" w:rsidR="00E15DD2" w:rsidRPr="00E15DD2" w:rsidRDefault="00E15DD2"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p>
    <w:p w14:paraId="1A6E5035" w14:textId="4A9197FC" w:rsidR="00E15DD2" w:rsidRDefault="009A4187"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r w:rsidRPr="00E15DD2">
        <w:rPr>
          <w:rFonts w:asciiTheme="minorHAnsi" w:hAnsiTheme="minorHAnsi"/>
          <w:color w:val="242424"/>
          <w:sz w:val="22"/>
          <w:szCs w:val="22"/>
          <w:bdr w:val="none" w:sz="0" w:space="0" w:color="auto" w:frame="1"/>
        </w:rPr>
        <w:t>For the Global Matrix 5.0 we ask you to only cover the best you can for 5 to 17</w:t>
      </w:r>
      <w:r w:rsidR="00E15DD2" w:rsidRPr="00E15DD2">
        <w:rPr>
          <w:rFonts w:asciiTheme="minorHAnsi" w:hAnsiTheme="minorHAnsi"/>
          <w:color w:val="242424"/>
          <w:sz w:val="22"/>
          <w:szCs w:val="22"/>
          <w:bdr w:val="none" w:sz="0" w:space="0" w:color="auto" w:frame="1"/>
        </w:rPr>
        <w:t>-</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w:t>
      </w:r>
      <w:r w:rsidRPr="00E15DD2">
        <w:rPr>
          <w:rFonts w:asciiTheme="minorHAnsi" w:hAnsiTheme="minorHAnsi"/>
          <w:color w:val="242424"/>
          <w:sz w:val="22"/>
          <w:szCs w:val="22"/>
          <w:bdr w:val="none" w:sz="0" w:space="0" w:color="auto" w:frame="1"/>
        </w:rPr>
        <w:t>olds in your grades and rationale - so if you gathered data for the under 5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you should not consider them when grading your indicators for the Global Matrix 5.0. If you plan to include the under 5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in your Report Card, it is OK if you end up having different grades that the ones reported in the Global Matrix 5.0. Just make sure to clarify transparently why when you publish the results. You can also have separated grades for this specific age group vs the 5-17 </w:t>
      </w:r>
      <w:r w:rsidRPr="00E15DD2">
        <w:rPr>
          <w:rStyle w:val="mark0vmzt5egt"/>
          <w:rFonts w:asciiTheme="minorHAnsi" w:eastAsiaTheme="majorEastAsia" w:hAnsiTheme="minorHAnsi"/>
          <w:color w:val="242424"/>
          <w:sz w:val="22"/>
          <w:szCs w:val="22"/>
          <w:bdr w:val="none" w:sz="0" w:space="0" w:color="auto" w:frame="1"/>
        </w:rPr>
        <w:t>year</w:t>
      </w:r>
      <w:r w:rsidRPr="00E15DD2">
        <w:rPr>
          <w:rStyle w:val="markvtmo8smuc"/>
          <w:rFonts w:asciiTheme="minorHAnsi" w:eastAsiaTheme="majorEastAsia" w:hAnsiTheme="minorHAnsi"/>
          <w:color w:val="242424"/>
          <w:sz w:val="22"/>
          <w:szCs w:val="22"/>
          <w:bdr w:val="none" w:sz="0" w:space="0" w:color="auto" w:frame="1"/>
        </w:rPr>
        <w:t>s</w:t>
      </w:r>
      <w:r w:rsidRPr="00E15DD2">
        <w:rPr>
          <w:rFonts w:asciiTheme="minorHAnsi" w:hAnsiTheme="minorHAnsi"/>
          <w:color w:val="242424"/>
          <w:sz w:val="22"/>
          <w:szCs w:val="22"/>
          <w:bdr w:val="none" w:sz="0" w:space="0" w:color="auto" w:frame="1"/>
        </w:rPr>
        <w:t> in your report to keep the same grades.</w:t>
      </w:r>
      <w:bookmarkStart w:id="2" w:name="_Toc210113748"/>
    </w:p>
    <w:p w14:paraId="46D6B782" w14:textId="77777777" w:rsidR="000E7FD4" w:rsidRDefault="000E7FD4"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p>
    <w:p w14:paraId="6DC9BD1B" w14:textId="168826ED" w:rsidR="000E7FD4" w:rsidRPr="000E7FD4" w:rsidRDefault="000E7FD4" w:rsidP="00E15DD2">
      <w:pPr>
        <w:pStyle w:val="NormalWeb"/>
        <w:shd w:val="clear" w:color="auto" w:fill="FFFFFF"/>
        <w:spacing w:before="0" w:beforeAutospacing="0" w:after="0" w:afterAutospacing="0"/>
        <w:rPr>
          <w:rFonts w:asciiTheme="minorHAnsi" w:hAnsiTheme="minorHAnsi"/>
          <w:b/>
          <w:bCs/>
          <w:color w:val="242424"/>
          <w:sz w:val="22"/>
          <w:szCs w:val="22"/>
          <w:bdr w:val="none" w:sz="0" w:space="0" w:color="auto" w:frame="1"/>
        </w:rPr>
      </w:pPr>
      <w:r w:rsidRPr="000E7FD4">
        <w:rPr>
          <w:rFonts w:asciiTheme="minorHAnsi" w:hAnsiTheme="minorHAnsi"/>
          <w:b/>
          <w:bCs/>
          <w:color w:val="242424"/>
          <w:sz w:val="22"/>
          <w:szCs w:val="22"/>
          <w:bdr w:val="none" w:sz="0" w:space="0" w:color="auto" w:frame="1"/>
        </w:rPr>
        <w:t>Q: Where can I find more information on the HEPA Policy Audit Tool Version 2 (PAT V2) for grading the Government indicator?</w:t>
      </w:r>
    </w:p>
    <w:p w14:paraId="332665AE" w14:textId="77777777" w:rsidR="000E7FD4" w:rsidRPr="000E7FD4" w:rsidRDefault="000E7FD4"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p>
    <w:p w14:paraId="1845E4C1" w14:textId="15521768" w:rsidR="000E7FD4" w:rsidRPr="000E7FD4" w:rsidRDefault="000E7FD4" w:rsidP="00E15DD2">
      <w:pPr>
        <w:pStyle w:val="NormalWeb"/>
        <w:shd w:val="clear" w:color="auto" w:fill="FFFFFF"/>
        <w:spacing w:before="0" w:beforeAutospacing="0" w:after="0" w:afterAutospacing="0"/>
        <w:rPr>
          <w:rFonts w:asciiTheme="minorHAnsi" w:hAnsiTheme="minorHAnsi"/>
          <w:color w:val="000000"/>
          <w:sz w:val="22"/>
          <w:szCs w:val="22"/>
        </w:rPr>
      </w:pPr>
      <w:r w:rsidRPr="000E7FD4">
        <w:rPr>
          <w:rFonts w:asciiTheme="minorHAnsi" w:hAnsiTheme="minorHAnsi"/>
          <w:color w:val="242424"/>
          <w:sz w:val="22"/>
          <w:szCs w:val="22"/>
          <w:bdr w:val="none" w:sz="0" w:space="0" w:color="auto" w:frame="1"/>
        </w:rPr>
        <w:t xml:space="preserve">A: You can find more information here: </w:t>
      </w:r>
      <w:r w:rsidRPr="000E7FD4">
        <w:rPr>
          <w:rFonts w:asciiTheme="minorHAnsi" w:hAnsiTheme="minorHAnsi"/>
          <w:color w:val="000000"/>
          <w:sz w:val="22"/>
          <w:szCs w:val="22"/>
        </w:rPr>
        <w:t>Ward MR, Tyler R, Edwards LC, Miller MC, Williams S, Stratton G. The AHK - Wales Report Card 2018: Policy measures – is it possible to ‘score’ qualitative data? Health Promotion International. 2020;36(4):1151-9.</w:t>
      </w:r>
    </w:p>
    <w:p w14:paraId="71C7F965" w14:textId="77777777" w:rsidR="000E7FD4" w:rsidRPr="000E7FD4" w:rsidRDefault="000E7FD4" w:rsidP="00E15DD2">
      <w:pPr>
        <w:pStyle w:val="NormalWeb"/>
        <w:shd w:val="clear" w:color="auto" w:fill="FFFFFF"/>
        <w:spacing w:before="0" w:beforeAutospacing="0" w:after="0" w:afterAutospacing="0"/>
        <w:rPr>
          <w:rFonts w:asciiTheme="minorHAnsi" w:hAnsiTheme="minorHAnsi"/>
          <w:color w:val="000000"/>
          <w:sz w:val="22"/>
          <w:szCs w:val="22"/>
        </w:rPr>
      </w:pPr>
    </w:p>
    <w:p w14:paraId="5FE68DF9" w14:textId="480429BC" w:rsidR="000E7FD4" w:rsidRPr="000E7FD4" w:rsidRDefault="000E7FD4" w:rsidP="00E15DD2">
      <w:pPr>
        <w:pStyle w:val="NormalWeb"/>
        <w:shd w:val="clear" w:color="auto" w:fill="FFFFFF"/>
        <w:spacing w:before="0" w:beforeAutospacing="0" w:after="0" w:afterAutospacing="0"/>
        <w:rPr>
          <w:rFonts w:asciiTheme="minorHAnsi" w:hAnsiTheme="minorHAnsi"/>
          <w:color w:val="242424"/>
          <w:sz w:val="22"/>
          <w:szCs w:val="22"/>
          <w:bdr w:val="none" w:sz="0" w:space="0" w:color="auto" w:frame="1"/>
        </w:rPr>
      </w:pPr>
      <w:r w:rsidRPr="000E7FD4">
        <w:rPr>
          <w:rFonts w:asciiTheme="minorHAnsi" w:hAnsiTheme="minorHAnsi"/>
          <w:color w:val="000000"/>
          <w:sz w:val="22"/>
          <w:szCs w:val="22"/>
        </w:rPr>
        <w:t xml:space="preserve">The 2024 Canadian Report Card used this method. Read the </w:t>
      </w:r>
      <w:hyperlink r:id="rId7" w:history="1">
        <w:r w:rsidRPr="000E7FD4">
          <w:rPr>
            <w:rStyle w:val="Hyperlink"/>
            <w:rFonts w:asciiTheme="minorHAnsi" w:hAnsiTheme="minorHAnsi"/>
            <w:sz w:val="22"/>
            <w:szCs w:val="22"/>
          </w:rPr>
          <w:t>Report Card</w:t>
        </w:r>
      </w:hyperlink>
      <w:r w:rsidRPr="000E7FD4">
        <w:rPr>
          <w:rFonts w:asciiTheme="minorHAnsi" w:hAnsiTheme="minorHAnsi"/>
          <w:color w:val="000000"/>
          <w:sz w:val="22"/>
          <w:szCs w:val="22"/>
        </w:rPr>
        <w:t xml:space="preserve"> and review their </w:t>
      </w:r>
      <w:hyperlink r:id="rId8" w:history="1">
        <w:r w:rsidRPr="000E7FD4">
          <w:rPr>
            <w:rStyle w:val="Hyperlink"/>
            <w:rFonts w:asciiTheme="minorHAnsi" w:hAnsiTheme="minorHAnsi"/>
            <w:sz w:val="22"/>
            <w:szCs w:val="22"/>
          </w:rPr>
          <w:t>audit template</w:t>
        </w:r>
      </w:hyperlink>
      <w:r w:rsidRPr="000E7FD4">
        <w:rPr>
          <w:rFonts w:asciiTheme="minorHAnsi" w:hAnsiTheme="minorHAnsi"/>
          <w:color w:val="000000"/>
          <w:sz w:val="22"/>
          <w:szCs w:val="22"/>
        </w:rPr>
        <w:t xml:space="preserve"> for an example. </w:t>
      </w:r>
    </w:p>
    <w:p w14:paraId="33AE399B" w14:textId="1DE5F82B" w:rsidR="00D433EF" w:rsidRPr="00E15DD2" w:rsidRDefault="00D433EF" w:rsidP="00E15DD2">
      <w:pPr>
        <w:pStyle w:val="Heading1"/>
        <w:spacing w:line="240" w:lineRule="auto"/>
        <w:rPr>
          <w:rFonts w:asciiTheme="minorHAnsi" w:hAnsiTheme="minorHAnsi"/>
          <w:sz w:val="36"/>
          <w:szCs w:val="36"/>
        </w:rPr>
      </w:pPr>
      <w:r w:rsidRPr="00E15DD2">
        <w:rPr>
          <w:rFonts w:asciiTheme="minorHAnsi" w:hAnsiTheme="minorHAnsi"/>
          <w:sz w:val="36"/>
          <w:szCs w:val="36"/>
        </w:rPr>
        <w:t>Audit Process</w:t>
      </w:r>
      <w:bookmarkEnd w:id="2"/>
    </w:p>
    <w:p w14:paraId="740D34CD"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When are the draft grades and final grades due for the audit?</w:t>
      </w:r>
    </w:p>
    <w:p w14:paraId="39AF83E0" w14:textId="77777777" w:rsidR="008B02C9" w:rsidRPr="00E15DD2" w:rsidRDefault="008B02C9" w:rsidP="00E15DD2">
      <w:pPr>
        <w:spacing w:line="240" w:lineRule="auto"/>
        <w:rPr>
          <w:color w:val="000000" w:themeColor="text1"/>
          <w:sz w:val="22"/>
          <w:szCs w:val="22"/>
        </w:rPr>
      </w:pPr>
      <w:r w:rsidRPr="00E15DD2">
        <w:rPr>
          <w:color w:val="000000" w:themeColor="text1"/>
          <w:sz w:val="22"/>
          <w:szCs w:val="22"/>
        </w:rPr>
        <w:lastRenderedPageBreak/>
        <w:t>A: The draft grades are due on December 1</w:t>
      </w:r>
      <w:r w:rsidRPr="00E15DD2">
        <w:rPr>
          <w:color w:val="000000" w:themeColor="text1"/>
          <w:sz w:val="22"/>
          <w:szCs w:val="22"/>
          <w:vertAlign w:val="superscript"/>
        </w:rPr>
        <w:t>st</w:t>
      </w:r>
      <w:r w:rsidRPr="00E15DD2">
        <w:rPr>
          <w:color w:val="000000" w:themeColor="text1"/>
          <w:sz w:val="22"/>
          <w:szCs w:val="22"/>
        </w:rPr>
        <w:t xml:space="preserve">, 2025. However, we highly recommend submitting them early. Please allow yourself three weeks of availability after you submit your grades for audit. Therefore, if you plan to take holiday/leave in December, please submit your grades early. Failure to submit your draft grades on time or failure to address audit revisions will result in the removal from the Global Matrix 5.0. </w:t>
      </w:r>
    </w:p>
    <w:p w14:paraId="05965A27" w14:textId="77777777" w:rsidR="008B02C9" w:rsidRPr="00E15DD2" w:rsidRDefault="008B02C9" w:rsidP="00E15DD2">
      <w:pPr>
        <w:spacing w:line="240" w:lineRule="auto"/>
        <w:rPr>
          <w:sz w:val="22"/>
          <w:szCs w:val="22"/>
        </w:rPr>
      </w:pPr>
    </w:p>
    <w:p w14:paraId="09CB860C" w14:textId="18811807" w:rsidR="00D433EF" w:rsidRPr="00E15DD2" w:rsidRDefault="008B02C9" w:rsidP="00E15DD2">
      <w:pPr>
        <w:pStyle w:val="Heading1"/>
        <w:spacing w:line="240" w:lineRule="auto"/>
        <w:rPr>
          <w:rFonts w:asciiTheme="minorHAnsi" w:hAnsiTheme="minorHAnsi"/>
          <w:sz w:val="36"/>
          <w:szCs w:val="36"/>
        </w:rPr>
      </w:pPr>
      <w:bookmarkStart w:id="3" w:name="_Toc210113749"/>
      <w:r w:rsidRPr="00E15DD2">
        <w:rPr>
          <w:rFonts w:asciiTheme="minorHAnsi" w:hAnsiTheme="minorHAnsi"/>
          <w:sz w:val="36"/>
          <w:szCs w:val="36"/>
        </w:rPr>
        <w:t xml:space="preserve">Global Matrix 5.0 </w:t>
      </w:r>
      <w:r w:rsidR="00D433EF" w:rsidRPr="00E15DD2">
        <w:rPr>
          <w:rFonts w:asciiTheme="minorHAnsi" w:hAnsiTheme="minorHAnsi"/>
          <w:sz w:val="36"/>
          <w:szCs w:val="36"/>
        </w:rPr>
        <w:t>Publication Plan</w:t>
      </w:r>
      <w:bookmarkEnd w:id="3"/>
    </w:p>
    <w:p w14:paraId="71C02A2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Can an expression of interest (EOI) form to lead or contribute to a series of global papers for Global Matrix 5.0 still be submitted?</w:t>
      </w:r>
    </w:p>
    <w:p w14:paraId="741D34B6" w14:textId="27E48F47" w:rsidR="008B02C9" w:rsidRPr="00E15DD2" w:rsidRDefault="008B02C9" w:rsidP="00E15DD2">
      <w:pPr>
        <w:spacing w:line="240" w:lineRule="auto"/>
        <w:rPr>
          <w:color w:val="000000" w:themeColor="text1"/>
          <w:sz w:val="22"/>
          <w:szCs w:val="22"/>
        </w:rPr>
      </w:pPr>
      <w:r w:rsidRPr="00E15DD2">
        <w:rPr>
          <w:color w:val="000000" w:themeColor="text1"/>
          <w:sz w:val="22"/>
          <w:szCs w:val="22"/>
        </w:rPr>
        <w:t>A: No, the deadline (May 31, 2025) for EOI form submission has passed, and the process has already started. However, you are encouraged to explore other opportunities (</w:t>
      </w:r>
      <w:hyperlink r:id="rId9" w:history="1">
        <w:r w:rsidRPr="00E15DD2">
          <w:rPr>
            <w:rStyle w:val="Hyperlink"/>
            <w:sz w:val="22"/>
            <w:szCs w:val="22"/>
          </w:rPr>
          <w:t>https://www.activehealthykids.org/2025/06/24/independent-investigation-proposals/</w:t>
        </w:r>
      </w:hyperlink>
      <w:r w:rsidRPr="00E15DD2">
        <w:rPr>
          <w:color w:val="000000" w:themeColor="text1"/>
          <w:sz w:val="22"/>
          <w:szCs w:val="22"/>
        </w:rPr>
        <w:t>)</w:t>
      </w:r>
    </w:p>
    <w:p w14:paraId="57A9D02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Do Report Card leaders need to register to be a co-author on the Overall Physical Activity paper?</w:t>
      </w:r>
    </w:p>
    <w:p w14:paraId="17D8C311" w14:textId="149AE347" w:rsidR="008B02C9" w:rsidRPr="00E15DD2" w:rsidRDefault="008B02C9" w:rsidP="00E15DD2">
      <w:pPr>
        <w:spacing w:line="240" w:lineRule="auto"/>
        <w:rPr>
          <w:sz w:val="22"/>
          <w:szCs w:val="22"/>
        </w:rPr>
      </w:pPr>
      <w:r w:rsidRPr="00E15DD2">
        <w:rPr>
          <w:sz w:val="22"/>
          <w:szCs w:val="22"/>
        </w:rPr>
        <w:t xml:space="preserve">A: No additional registration is required, the official Report Card leaders (whose names were provided upon team registration for the Global Matrix 5.0 and are listed as Report Card (co)leaders on the country/jurisdiction webpage) from all Global Matrix 5.0 participating countries will be invited to </w:t>
      </w:r>
      <w:r w:rsidR="000D6013" w:rsidRPr="00E15DD2">
        <w:rPr>
          <w:sz w:val="22"/>
          <w:szCs w:val="22"/>
        </w:rPr>
        <w:t xml:space="preserve">contribute to </w:t>
      </w:r>
      <w:r w:rsidRPr="00E15DD2">
        <w:rPr>
          <w:sz w:val="22"/>
          <w:szCs w:val="22"/>
        </w:rPr>
        <w:t>the main paper</w:t>
      </w:r>
      <w:r w:rsidR="000D6013" w:rsidRPr="00E15DD2">
        <w:rPr>
          <w:sz w:val="22"/>
          <w:szCs w:val="22"/>
        </w:rPr>
        <w:t xml:space="preserve"> as co-authors</w:t>
      </w:r>
      <w:r w:rsidR="009C1BE8" w:rsidRPr="00E15DD2">
        <w:rPr>
          <w:sz w:val="22"/>
          <w:szCs w:val="22"/>
        </w:rPr>
        <w:t xml:space="preserve">, similarly to </w:t>
      </w:r>
      <w:r w:rsidR="000D6013" w:rsidRPr="00E15DD2">
        <w:rPr>
          <w:sz w:val="22"/>
          <w:szCs w:val="22"/>
        </w:rPr>
        <w:t xml:space="preserve">the </w:t>
      </w:r>
      <w:r w:rsidR="009C1BE8" w:rsidRPr="00E15DD2">
        <w:rPr>
          <w:sz w:val="22"/>
          <w:szCs w:val="22"/>
        </w:rPr>
        <w:t>Global Matrix 4.0</w:t>
      </w:r>
      <w:r w:rsidR="00095406" w:rsidRPr="00E15DD2">
        <w:rPr>
          <w:sz w:val="22"/>
          <w:szCs w:val="22"/>
        </w:rPr>
        <w:t xml:space="preserve"> main paper</w:t>
      </w:r>
    </w:p>
    <w:p w14:paraId="6CB510DD" w14:textId="77777777" w:rsidR="00DC2103" w:rsidRPr="00E15DD2" w:rsidRDefault="00DC2103" w:rsidP="00E15DD2">
      <w:pPr>
        <w:spacing w:line="240" w:lineRule="auto"/>
        <w:rPr>
          <w:b/>
          <w:bCs/>
          <w:color w:val="000000" w:themeColor="text1"/>
          <w:sz w:val="22"/>
          <w:szCs w:val="22"/>
        </w:rPr>
      </w:pPr>
      <w:r w:rsidRPr="00E15DD2">
        <w:rPr>
          <w:b/>
          <w:bCs/>
          <w:color w:val="000000" w:themeColor="text1"/>
          <w:sz w:val="22"/>
          <w:szCs w:val="22"/>
        </w:rPr>
        <w:t>Q: Have all the invitations for lead and co-authors on the AHKGA-led papers for the Global Matrix 5.0 been sent?</w:t>
      </w:r>
    </w:p>
    <w:p w14:paraId="7B7C5AD1" w14:textId="150DD7B7" w:rsidR="00DC2103" w:rsidRPr="00E15DD2" w:rsidRDefault="00DC2103" w:rsidP="00E15DD2">
      <w:pPr>
        <w:spacing w:line="240" w:lineRule="auto"/>
        <w:rPr>
          <w:color w:val="000000" w:themeColor="text1"/>
          <w:sz w:val="22"/>
          <w:szCs w:val="22"/>
        </w:rPr>
      </w:pPr>
      <w:r w:rsidRPr="00E15DD2">
        <w:rPr>
          <w:color w:val="000000" w:themeColor="text1"/>
          <w:sz w:val="22"/>
          <w:szCs w:val="22"/>
        </w:rPr>
        <w:t xml:space="preserve">A: Yes. </w:t>
      </w:r>
      <w:r w:rsidRPr="00E15DD2">
        <w:rPr>
          <w:color w:val="000000"/>
          <w:sz w:val="22"/>
          <w:szCs w:val="22"/>
          <w:shd w:val="clear" w:color="auto" w:fill="FFFFFF"/>
        </w:rPr>
        <w:t>T</w:t>
      </w:r>
      <w:r w:rsidRPr="00E15DD2">
        <w:rPr>
          <w:color w:val="242424"/>
          <w:sz w:val="22"/>
          <w:szCs w:val="22"/>
          <w:bdr w:val="none" w:sz="0" w:space="0" w:color="auto" w:frame="1"/>
          <w:shd w:val="clear" w:color="auto" w:fill="FFFFFF"/>
        </w:rPr>
        <w:t xml:space="preserve">he selection process for all </w:t>
      </w:r>
      <w:r w:rsidR="005B48D1" w:rsidRPr="00E15DD2">
        <w:rPr>
          <w:color w:val="242424"/>
          <w:sz w:val="22"/>
          <w:szCs w:val="22"/>
          <w:bdr w:val="none" w:sz="0" w:space="0" w:color="auto" w:frame="1"/>
          <w:shd w:val="clear" w:color="auto" w:fill="FFFFFF"/>
        </w:rPr>
        <w:t>9</w:t>
      </w:r>
      <w:r w:rsidRPr="00E15DD2">
        <w:rPr>
          <w:color w:val="242424"/>
          <w:sz w:val="22"/>
          <w:szCs w:val="22"/>
          <w:bdr w:val="none" w:sz="0" w:space="0" w:color="auto" w:frame="1"/>
          <w:shd w:val="clear" w:color="auto" w:fill="FFFFFF"/>
        </w:rPr>
        <w:t xml:space="preserve"> indicator papers </w:t>
      </w:r>
      <w:r w:rsidR="005B48D1" w:rsidRPr="00E15DD2">
        <w:rPr>
          <w:color w:val="242424"/>
          <w:sz w:val="22"/>
          <w:szCs w:val="22"/>
          <w:bdr w:val="none" w:sz="0" w:space="0" w:color="auto" w:frame="1"/>
          <w:shd w:val="clear" w:color="auto" w:fill="FFFFFF"/>
        </w:rPr>
        <w:t xml:space="preserve">and disability paper </w:t>
      </w:r>
      <w:r w:rsidRPr="00E15DD2">
        <w:rPr>
          <w:color w:val="242424"/>
          <w:sz w:val="22"/>
          <w:szCs w:val="22"/>
          <w:bdr w:val="none" w:sz="0" w:space="0" w:color="auto" w:frame="1"/>
          <w:shd w:val="clear" w:color="auto" w:fill="FFFFFF"/>
        </w:rPr>
        <w:t xml:space="preserve">has been completed, all invitations have been sent, the decisions are final, and no exceptions will be granted. </w:t>
      </w:r>
      <w:r w:rsidRPr="00E15DD2">
        <w:rPr>
          <w:color w:val="242424"/>
          <w:sz w:val="22"/>
          <w:szCs w:val="22"/>
        </w:rPr>
        <w:t>With more than 800 people involved in Global Matrix 5.0, we had to make very difficult choices to balance representation across regions, countries, and areas of expertise. The Global Matrix 5.0 paper leads (not AHKGA) were tasked with selecting their team considering expertise, but also representation, diversity, and inclusion. From the beginning, there was no guarantee of being included on any specific papers, even for very strong candidates. While we understand the disappointment that comes with not being part of a particular team, the decisions will not be discussed.</w:t>
      </w:r>
    </w:p>
    <w:p w14:paraId="1DB134D5" w14:textId="77777777" w:rsidR="00DC2103" w:rsidRPr="00E15DD2" w:rsidRDefault="00DC2103" w:rsidP="00E15DD2">
      <w:pPr>
        <w:spacing w:line="240" w:lineRule="auto"/>
        <w:rPr>
          <w:color w:val="000000" w:themeColor="text1"/>
          <w:sz w:val="22"/>
          <w:szCs w:val="22"/>
        </w:rPr>
      </w:pPr>
    </w:p>
    <w:p w14:paraId="34C52BEA" w14:textId="6823C683" w:rsidR="00D433EF" w:rsidRPr="00E15DD2" w:rsidRDefault="008B02C9" w:rsidP="00E15DD2">
      <w:pPr>
        <w:pStyle w:val="Heading1"/>
        <w:spacing w:line="240" w:lineRule="auto"/>
        <w:rPr>
          <w:rFonts w:asciiTheme="minorHAnsi" w:hAnsiTheme="minorHAnsi"/>
          <w:sz w:val="36"/>
          <w:szCs w:val="36"/>
        </w:rPr>
      </w:pPr>
      <w:bookmarkStart w:id="4" w:name="_Toc210113750"/>
      <w:r w:rsidRPr="00E15DD2">
        <w:rPr>
          <w:rFonts w:asciiTheme="minorHAnsi" w:hAnsiTheme="minorHAnsi"/>
          <w:sz w:val="36"/>
          <w:szCs w:val="36"/>
        </w:rPr>
        <w:t xml:space="preserve">Publishing </w:t>
      </w:r>
      <w:r w:rsidR="00E15DD2">
        <w:rPr>
          <w:rFonts w:asciiTheme="minorHAnsi" w:hAnsiTheme="minorHAnsi"/>
          <w:sz w:val="36"/>
          <w:szCs w:val="36"/>
        </w:rPr>
        <w:t>I</w:t>
      </w:r>
      <w:r w:rsidRPr="00E15DD2">
        <w:rPr>
          <w:rFonts w:asciiTheme="minorHAnsi" w:hAnsiTheme="minorHAnsi"/>
          <w:sz w:val="36"/>
          <w:szCs w:val="36"/>
        </w:rPr>
        <w:t xml:space="preserve">ndependent </w:t>
      </w:r>
      <w:r w:rsidR="00E15DD2">
        <w:rPr>
          <w:rFonts w:asciiTheme="minorHAnsi" w:hAnsiTheme="minorHAnsi"/>
          <w:sz w:val="36"/>
          <w:szCs w:val="36"/>
        </w:rPr>
        <w:t>P</w:t>
      </w:r>
      <w:r w:rsidRPr="00E15DD2">
        <w:rPr>
          <w:rFonts w:asciiTheme="minorHAnsi" w:hAnsiTheme="minorHAnsi"/>
          <w:sz w:val="36"/>
          <w:szCs w:val="36"/>
        </w:rPr>
        <w:t>apers</w:t>
      </w:r>
      <w:bookmarkEnd w:id="4"/>
    </w:p>
    <w:p w14:paraId="3E0D8CE4" w14:textId="77777777" w:rsidR="008B02C9" w:rsidRPr="00E15DD2" w:rsidRDefault="008B02C9" w:rsidP="00E15DD2">
      <w:pPr>
        <w:spacing w:line="240" w:lineRule="auto"/>
        <w:rPr>
          <w:b/>
          <w:bCs/>
          <w:sz w:val="22"/>
          <w:szCs w:val="22"/>
        </w:rPr>
      </w:pPr>
      <w:r w:rsidRPr="00E15DD2">
        <w:rPr>
          <w:b/>
          <w:bCs/>
          <w:sz w:val="22"/>
          <w:szCs w:val="22"/>
        </w:rPr>
        <w:t>Q: What are the regulations on using other countries’ published data?</w:t>
      </w:r>
    </w:p>
    <w:p w14:paraId="28E2DA60" w14:textId="77777777" w:rsidR="008B02C9" w:rsidRPr="00E15DD2" w:rsidRDefault="008B02C9" w:rsidP="00E15DD2">
      <w:pPr>
        <w:spacing w:line="240" w:lineRule="auto"/>
        <w:rPr>
          <w:sz w:val="22"/>
          <w:szCs w:val="22"/>
        </w:rPr>
      </w:pPr>
      <w:r w:rsidRPr="00E15DD2">
        <w:rPr>
          <w:sz w:val="22"/>
          <w:szCs w:val="22"/>
        </w:rPr>
        <w:t xml:space="preserve">Please refer to the </w:t>
      </w:r>
      <w:hyperlink r:id="rId10">
        <w:r w:rsidRPr="00E15DD2">
          <w:rPr>
            <w:rStyle w:val="Hyperlink"/>
            <w:sz w:val="22"/>
            <w:szCs w:val="22"/>
          </w:rPr>
          <w:t>AHKGA Publications and Data Ownership Policy.</w:t>
        </w:r>
      </w:hyperlink>
    </w:p>
    <w:p w14:paraId="7B992AD8" w14:textId="77777777" w:rsidR="008B02C9" w:rsidRPr="00E15DD2" w:rsidRDefault="008B02C9" w:rsidP="00E15DD2">
      <w:pPr>
        <w:spacing w:line="240" w:lineRule="auto"/>
        <w:rPr>
          <w:sz w:val="22"/>
          <w:szCs w:val="22"/>
        </w:rPr>
      </w:pPr>
    </w:p>
    <w:p w14:paraId="4DDC42E5" w14:textId="5FF0AAD8" w:rsidR="008B02C9" w:rsidRPr="00E15DD2" w:rsidRDefault="008B02C9" w:rsidP="00E15DD2">
      <w:pPr>
        <w:pStyle w:val="Heading1"/>
        <w:spacing w:line="240" w:lineRule="auto"/>
        <w:rPr>
          <w:rFonts w:asciiTheme="minorHAnsi" w:hAnsiTheme="minorHAnsi"/>
          <w:sz w:val="36"/>
          <w:szCs w:val="36"/>
        </w:rPr>
      </w:pPr>
      <w:bookmarkStart w:id="5" w:name="_Toc210113751"/>
      <w:r w:rsidRPr="00E15DD2">
        <w:rPr>
          <w:rFonts w:asciiTheme="minorHAnsi" w:hAnsiTheme="minorHAnsi"/>
          <w:sz w:val="36"/>
          <w:szCs w:val="36"/>
        </w:rPr>
        <w:t>Report</w:t>
      </w:r>
      <w:r w:rsidR="00E15DD2">
        <w:rPr>
          <w:rFonts w:asciiTheme="minorHAnsi" w:hAnsiTheme="minorHAnsi"/>
          <w:sz w:val="36"/>
          <w:szCs w:val="36"/>
        </w:rPr>
        <w:t xml:space="preserve"> C</w:t>
      </w:r>
      <w:r w:rsidRPr="00E15DD2">
        <w:rPr>
          <w:rFonts w:asciiTheme="minorHAnsi" w:hAnsiTheme="minorHAnsi"/>
          <w:sz w:val="36"/>
          <w:szCs w:val="36"/>
        </w:rPr>
        <w:t xml:space="preserve">ard </w:t>
      </w:r>
      <w:r w:rsidR="00E15DD2">
        <w:rPr>
          <w:rFonts w:asciiTheme="minorHAnsi" w:hAnsiTheme="minorHAnsi"/>
          <w:sz w:val="36"/>
          <w:szCs w:val="36"/>
        </w:rPr>
        <w:t>D</w:t>
      </w:r>
      <w:r w:rsidRPr="00E15DD2">
        <w:rPr>
          <w:rFonts w:asciiTheme="minorHAnsi" w:hAnsiTheme="minorHAnsi"/>
          <w:sz w:val="36"/>
          <w:szCs w:val="36"/>
        </w:rPr>
        <w:t>evelopment</w:t>
      </w:r>
      <w:bookmarkEnd w:id="5"/>
    </w:p>
    <w:p w14:paraId="75BC79F1" w14:textId="77777777" w:rsidR="008B02C9" w:rsidRPr="00E15DD2" w:rsidRDefault="008B02C9" w:rsidP="00E15DD2">
      <w:pPr>
        <w:spacing w:line="240" w:lineRule="auto"/>
        <w:rPr>
          <w:b/>
          <w:bCs/>
          <w:color w:val="000000" w:themeColor="text1"/>
          <w:sz w:val="22"/>
          <w:szCs w:val="22"/>
        </w:rPr>
      </w:pPr>
      <w:r w:rsidRPr="00E15DD2">
        <w:rPr>
          <w:b/>
          <w:bCs/>
          <w:color w:val="000000" w:themeColor="text1"/>
          <w:sz w:val="22"/>
          <w:szCs w:val="22"/>
        </w:rPr>
        <w:t>Q: Can the Report Card materials be prepared only in the local language (with no English translation)?</w:t>
      </w:r>
    </w:p>
    <w:p w14:paraId="5A9F10E1" w14:textId="77777777" w:rsidR="008B02C9" w:rsidRPr="00E15DD2" w:rsidRDefault="008B02C9" w:rsidP="00E15DD2">
      <w:pPr>
        <w:spacing w:line="240" w:lineRule="auto"/>
        <w:rPr>
          <w:color w:val="000000" w:themeColor="text1"/>
          <w:sz w:val="22"/>
          <w:szCs w:val="22"/>
        </w:rPr>
      </w:pPr>
      <w:r w:rsidRPr="00E15DD2">
        <w:rPr>
          <w:color w:val="000000" w:themeColor="text1"/>
          <w:sz w:val="22"/>
          <w:szCs w:val="22"/>
        </w:rPr>
        <w:lastRenderedPageBreak/>
        <w:t>A: A Report Card document can be prepared only in the local language if that works best for the country/jurisdiction. However, all Report Card materials for audit purposes (the grades and rationales audit template) need to be submitted to the AHKGA in English. We understand that English is not the first language for many teams and appreciate the effort you are putting into this.</w:t>
      </w:r>
    </w:p>
    <w:p w14:paraId="69C99741" w14:textId="77777777" w:rsidR="008B02C9" w:rsidRPr="00E15DD2" w:rsidRDefault="008B02C9" w:rsidP="00E15DD2">
      <w:pPr>
        <w:spacing w:line="240" w:lineRule="auto"/>
        <w:rPr>
          <w:sz w:val="22"/>
          <w:szCs w:val="22"/>
        </w:rPr>
      </w:pPr>
    </w:p>
    <w:p w14:paraId="25A313BB" w14:textId="77777777" w:rsidR="008B02C9" w:rsidRPr="00E15DD2" w:rsidRDefault="008B02C9" w:rsidP="00E15DD2">
      <w:pPr>
        <w:pStyle w:val="ListParagraph"/>
        <w:spacing w:line="240" w:lineRule="auto"/>
        <w:rPr>
          <w:color w:val="000000" w:themeColor="text1"/>
          <w:sz w:val="22"/>
          <w:szCs w:val="22"/>
        </w:rPr>
      </w:pPr>
    </w:p>
    <w:sectPr w:rsidR="008B02C9" w:rsidRPr="00E15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C852"/>
    <w:multiLevelType w:val="hybridMultilevel"/>
    <w:tmpl w:val="B7FCC338"/>
    <w:lvl w:ilvl="0" w:tplc="F4FC1F98">
      <w:start w:val="1"/>
      <w:numFmt w:val="bullet"/>
      <w:lvlText w:val="-"/>
      <w:lvlJc w:val="left"/>
      <w:pPr>
        <w:ind w:left="720" w:hanging="360"/>
      </w:pPr>
      <w:rPr>
        <w:rFonts w:ascii="Aptos" w:hAnsi="Aptos" w:hint="default"/>
      </w:rPr>
    </w:lvl>
    <w:lvl w:ilvl="1" w:tplc="6ED8E786">
      <w:start w:val="1"/>
      <w:numFmt w:val="bullet"/>
      <w:lvlText w:val="o"/>
      <w:lvlJc w:val="left"/>
      <w:pPr>
        <w:ind w:left="1440" w:hanging="360"/>
      </w:pPr>
      <w:rPr>
        <w:rFonts w:ascii="Courier New" w:hAnsi="Courier New" w:hint="default"/>
      </w:rPr>
    </w:lvl>
    <w:lvl w:ilvl="2" w:tplc="93582C42">
      <w:start w:val="1"/>
      <w:numFmt w:val="bullet"/>
      <w:lvlText w:val=""/>
      <w:lvlJc w:val="left"/>
      <w:pPr>
        <w:ind w:left="2160" w:hanging="360"/>
      </w:pPr>
      <w:rPr>
        <w:rFonts w:ascii="Wingdings" w:hAnsi="Wingdings" w:hint="default"/>
      </w:rPr>
    </w:lvl>
    <w:lvl w:ilvl="3" w:tplc="4BEC291C">
      <w:start w:val="1"/>
      <w:numFmt w:val="bullet"/>
      <w:lvlText w:val=""/>
      <w:lvlJc w:val="left"/>
      <w:pPr>
        <w:ind w:left="2880" w:hanging="360"/>
      </w:pPr>
      <w:rPr>
        <w:rFonts w:ascii="Symbol" w:hAnsi="Symbol" w:hint="default"/>
      </w:rPr>
    </w:lvl>
    <w:lvl w:ilvl="4" w:tplc="99049D86">
      <w:start w:val="1"/>
      <w:numFmt w:val="bullet"/>
      <w:lvlText w:val="o"/>
      <w:lvlJc w:val="left"/>
      <w:pPr>
        <w:ind w:left="3600" w:hanging="360"/>
      </w:pPr>
      <w:rPr>
        <w:rFonts w:ascii="Courier New" w:hAnsi="Courier New" w:hint="default"/>
      </w:rPr>
    </w:lvl>
    <w:lvl w:ilvl="5" w:tplc="C19CFB72">
      <w:start w:val="1"/>
      <w:numFmt w:val="bullet"/>
      <w:lvlText w:val=""/>
      <w:lvlJc w:val="left"/>
      <w:pPr>
        <w:ind w:left="4320" w:hanging="360"/>
      </w:pPr>
      <w:rPr>
        <w:rFonts w:ascii="Wingdings" w:hAnsi="Wingdings" w:hint="default"/>
      </w:rPr>
    </w:lvl>
    <w:lvl w:ilvl="6" w:tplc="E0CC9DA6">
      <w:start w:val="1"/>
      <w:numFmt w:val="bullet"/>
      <w:lvlText w:val=""/>
      <w:lvlJc w:val="left"/>
      <w:pPr>
        <w:ind w:left="5040" w:hanging="360"/>
      </w:pPr>
      <w:rPr>
        <w:rFonts w:ascii="Symbol" w:hAnsi="Symbol" w:hint="default"/>
      </w:rPr>
    </w:lvl>
    <w:lvl w:ilvl="7" w:tplc="88302380">
      <w:start w:val="1"/>
      <w:numFmt w:val="bullet"/>
      <w:lvlText w:val="o"/>
      <w:lvlJc w:val="left"/>
      <w:pPr>
        <w:ind w:left="5760" w:hanging="360"/>
      </w:pPr>
      <w:rPr>
        <w:rFonts w:ascii="Courier New" w:hAnsi="Courier New" w:hint="default"/>
      </w:rPr>
    </w:lvl>
    <w:lvl w:ilvl="8" w:tplc="29060DE2">
      <w:start w:val="1"/>
      <w:numFmt w:val="bullet"/>
      <w:lvlText w:val=""/>
      <w:lvlJc w:val="left"/>
      <w:pPr>
        <w:ind w:left="6480" w:hanging="360"/>
      </w:pPr>
      <w:rPr>
        <w:rFonts w:ascii="Wingdings" w:hAnsi="Wingdings" w:hint="default"/>
      </w:rPr>
    </w:lvl>
  </w:abstractNum>
  <w:abstractNum w:abstractNumId="1" w15:restartNumberingAfterBreak="0">
    <w:nsid w:val="24127EDF"/>
    <w:multiLevelType w:val="hybridMultilevel"/>
    <w:tmpl w:val="36AE372A"/>
    <w:lvl w:ilvl="0" w:tplc="A3E8A09E">
      <w:start w:val="1"/>
      <w:numFmt w:val="bullet"/>
      <w:lvlText w:val="-"/>
      <w:lvlJc w:val="left"/>
      <w:pPr>
        <w:ind w:left="720" w:hanging="360"/>
      </w:pPr>
      <w:rPr>
        <w:rFonts w:ascii="Aptos" w:hAnsi="Aptos" w:hint="default"/>
      </w:rPr>
    </w:lvl>
    <w:lvl w:ilvl="1" w:tplc="6CC43C96">
      <w:start w:val="1"/>
      <w:numFmt w:val="bullet"/>
      <w:lvlText w:val="o"/>
      <w:lvlJc w:val="left"/>
      <w:pPr>
        <w:ind w:left="1440" w:hanging="360"/>
      </w:pPr>
      <w:rPr>
        <w:rFonts w:ascii="Courier New" w:hAnsi="Courier New" w:hint="default"/>
      </w:rPr>
    </w:lvl>
    <w:lvl w:ilvl="2" w:tplc="D3F019BE">
      <w:start w:val="1"/>
      <w:numFmt w:val="bullet"/>
      <w:lvlText w:val=""/>
      <w:lvlJc w:val="left"/>
      <w:pPr>
        <w:ind w:left="2160" w:hanging="360"/>
      </w:pPr>
      <w:rPr>
        <w:rFonts w:ascii="Wingdings" w:hAnsi="Wingdings" w:hint="default"/>
      </w:rPr>
    </w:lvl>
    <w:lvl w:ilvl="3" w:tplc="D1600010">
      <w:start w:val="1"/>
      <w:numFmt w:val="bullet"/>
      <w:lvlText w:val=""/>
      <w:lvlJc w:val="left"/>
      <w:pPr>
        <w:ind w:left="2880" w:hanging="360"/>
      </w:pPr>
      <w:rPr>
        <w:rFonts w:ascii="Symbol" w:hAnsi="Symbol" w:hint="default"/>
      </w:rPr>
    </w:lvl>
    <w:lvl w:ilvl="4" w:tplc="A1EC81E6">
      <w:start w:val="1"/>
      <w:numFmt w:val="bullet"/>
      <w:lvlText w:val="o"/>
      <w:lvlJc w:val="left"/>
      <w:pPr>
        <w:ind w:left="3600" w:hanging="360"/>
      </w:pPr>
      <w:rPr>
        <w:rFonts w:ascii="Courier New" w:hAnsi="Courier New" w:hint="default"/>
      </w:rPr>
    </w:lvl>
    <w:lvl w:ilvl="5" w:tplc="D9982B66">
      <w:start w:val="1"/>
      <w:numFmt w:val="bullet"/>
      <w:lvlText w:val=""/>
      <w:lvlJc w:val="left"/>
      <w:pPr>
        <w:ind w:left="4320" w:hanging="360"/>
      </w:pPr>
      <w:rPr>
        <w:rFonts w:ascii="Wingdings" w:hAnsi="Wingdings" w:hint="default"/>
      </w:rPr>
    </w:lvl>
    <w:lvl w:ilvl="6" w:tplc="3D0444E2">
      <w:start w:val="1"/>
      <w:numFmt w:val="bullet"/>
      <w:lvlText w:val=""/>
      <w:lvlJc w:val="left"/>
      <w:pPr>
        <w:ind w:left="5040" w:hanging="360"/>
      </w:pPr>
      <w:rPr>
        <w:rFonts w:ascii="Symbol" w:hAnsi="Symbol" w:hint="default"/>
      </w:rPr>
    </w:lvl>
    <w:lvl w:ilvl="7" w:tplc="255C7D68">
      <w:start w:val="1"/>
      <w:numFmt w:val="bullet"/>
      <w:lvlText w:val="o"/>
      <w:lvlJc w:val="left"/>
      <w:pPr>
        <w:ind w:left="5760" w:hanging="360"/>
      </w:pPr>
      <w:rPr>
        <w:rFonts w:ascii="Courier New" w:hAnsi="Courier New" w:hint="default"/>
      </w:rPr>
    </w:lvl>
    <w:lvl w:ilvl="8" w:tplc="98FA5D5A">
      <w:start w:val="1"/>
      <w:numFmt w:val="bullet"/>
      <w:lvlText w:val=""/>
      <w:lvlJc w:val="left"/>
      <w:pPr>
        <w:ind w:left="6480" w:hanging="360"/>
      </w:pPr>
      <w:rPr>
        <w:rFonts w:ascii="Wingdings" w:hAnsi="Wingdings" w:hint="default"/>
      </w:rPr>
    </w:lvl>
  </w:abstractNum>
  <w:abstractNum w:abstractNumId="2" w15:restartNumberingAfterBreak="0">
    <w:nsid w:val="31F1F346"/>
    <w:multiLevelType w:val="hybridMultilevel"/>
    <w:tmpl w:val="0BBEDC82"/>
    <w:lvl w:ilvl="0" w:tplc="18E446E2">
      <w:start w:val="1"/>
      <w:numFmt w:val="bullet"/>
      <w:lvlText w:val="-"/>
      <w:lvlJc w:val="left"/>
      <w:pPr>
        <w:ind w:left="720" w:hanging="360"/>
      </w:pPr>
      <w:rPr>
        <w:rFonts w:ascii="Aptos" w:hAnsi="Aptos" w:hint="default"/>
      </w:rPr>
    </w:lvl>
    <w:lvl w:ilvl="1" w:tplc="C4627EF0">
      <w:start w:val="1"/>
      <w:numFmt w:val="bullet"/>
      <w:lvlText w:val="o"/>
      <w:lvlJc w:val="left"/>
      <w:pPr>
        <w:ind w:left="1440" w:hanging="360"/>
      </w:pPr>
      <w:rPr>
        <w:rFonts w:ascii="Courier New" w:hAnsi="Courier New" w:hint="default"/>
      </w:rPr>
    </w:lvl>
    <w:lvl w:ilvl="2" w:tplc="1DCEC128">
      <w:start w:val="1"/>
      <w:numFmt w:val="bullet"/>
      <w:lvlText w:val=""/>
      <w:lvlJc w:val="left"/>
      <w:pPr>
        <w:ind w:left="2160" w:hanging="360"/>
      </w:pPr>
      <w:rPr>
        <w:rFonts w:ascii="Wingdings" w:hAnsi="Wingdings" w:hint="default"/>
      </w:rPr>
    </w:lvl>
    <w:lvl w:ilvl="3" w:tplc="913AFF36">
      <w:start w:val="1"/>
      <w:numFmt w:val="bullet"/>
      <w:lvlText w:val=""/>
      <w:lvlJc w:val="left"/>
      <w:pPr>
        <w:ind w:left="2880" w:hanging="360"/>
      </w:pPr>
      <w:rPr>
        <w:rFonts w:ascii="Symbol" w:hAnsi="Symbol" w:hint="default"/>
      </w:rPr>
    </w:lvl>
    <w:lvl w:ilvl="4" w:tplc="4EEE53D8">
      <w:start w:val="1"/>
      <w:numFmt w:val="bullet"/>
      <w:lvlText w:val="o"/>
      <w:lvlJc w:val="left"/>
      <w:pPr>
        <w:ind w:left="3600" w:hanging="360"/>
      </w:pPr>
      <w:rPr>
        <w:rFonts w:ascii="Courier New" w:hAnsi="Courier New" w:hint="default"/>
      </w:rPr>
    </w:lvl>
    <w:lvl w:ilvl="5" w:tplc="E5E29BEE">
      <w:start w:val="1"/>
      <w:numFmt w:val="bullet"/>
      <w:lvlText w:val=""/>
      <w:lvlJc w:val="left"/>
      <w:pPr>
        <w:ind w:left="4320" w:hanging="360"/>
      </w:pPr>
      <w:rPr>
        <w:rFonts w:ascii="Wingdings" w:hAnsi="Wingdings" w:hint="default"/>
      </w:rPr>
    </w:lvl>
    <w:lvl w:ilvl="6" w:tplc="6CA462E6">
      <w:start w:val="1"/>
      <w:numFmt w:val="bullet"/>
      <w:lvlText w:val=""/>
      <w:lvlJc w:val="left"/>
      <w:pPr>
        <w:ind w:left="5040" w:hanging="360"/>
      </w:pPr>
      <w:rPr>
        <w:rFonts w:ascii="Symbol" w:hAnsi="Symbol" w:hint="default"/>
      </w:rPr>
    </w:lvl>
    <w:lvl w:ilvl="7" w:tplc="68FCF46C">
      <w:start w:val="1"/>
      <w:numFmt w:val="bullet"/>
      <w:lvlText w:val="o"/>
      <w:lvlJc w:val="left"/>
      <w:pPr>
        <w:ind w:left="5760" w:hanging="360"/>
      </w:pPr>
      <w:rPr>
        <w:rFonts w:ascii="Courier New" w:hAnsi="Courier New" w:hint="default"/>
      </w:rPr>
    </w:lvl>
    <w:lvl w:ilvl="8" w:tplc="992490C8">
      <w:start w:val="1"/>
      <w:numFmt w:val="bullet"/>
      <w:lvlText w:val=""/>
      <w:lvlJc w:val="left"/>
      <w:pPr>
        <w:ind w:left="6480" w:hanging="360"/>
      </w:pPr>
      <w:rPr>
        <w:rFonts w:ascii="Wingdings" w:hAnsi="Wingdings" w:hint="default"/>
      </w:rPr>
    </w:lvl>
  </w:abstractNum>
  <w:abstractNum w:abstractNumId="3" w15:restartNumberingAfterBreak="0">
    <w:nsid w:val="45857782"/>
    <w:multiLevelType w:val="hybridMultilevel"/>
    <w:tmpl w:val="1AAA5444"/>
    <w:lvl w:ilvl="0" w:tplc="1D28CF88">
      <w:start w:val="1"/>
      <w:numFmt w:val="bullet"/>
      <w:lvlText w:val="-"/>
      <w:lvlJc w:val="left"/>
      <w:pPr>
        <w:ind w:left="720" w:hanging="360"/>
      </w:pPr>
      <w:rPr>
        <w:rFonts w:ascii="Aptos" w:hAnsi="Aptos" w:hint="default"/>
      </w:rPr>
    </w:lvl>
    <w:lvl w:ilvl="1" w:tplc="244AAAD8">
      <w:start w:val="1"/>
      <w:numFmt w:val="bullet"/>
      <w:lvlText w:val="o"/>
      <w:lvlJc w:val="left"/>
      <w:pPr>
        <w:ind w:left="1440" w:hanging="360"/>
      </w:pPr>
      <w:rPr>
        <w:rFonts w:ascii="Courier New" w:hAnsi="Courier New" w:hint="default"/>
      </w:rPr>
    </w:lvl>
    <w:lvl w:ilvl="2" w:tplc="CE7AD930">
      <w:start w:val="1"/>
      <w:numFmt w:val="bullet"/>
      <w:lvlText w:val=""/>
      <w:lvlJc w:val="left"/>
      <w:pPr>
        <w:ind w:left="2160" w:hanging="360"/>
      </w:pPr>
      <w:rPr>
        <w:rFonts w:ascii="Wingdings" w:hAnsi="Wingdings" w:hint="default"/>
      </w:rPr>
    </w:lvl>
    <w:lvl w:ilvl="3" w:tplc="B372C578">
      <w:start w:val="1"/>
      <w:numFmt w:val="bullet"/>
      <w:lvlText w:val=""/>
      <w:lvlJc w:val="left"/>
      <w:pPr>
        <w:ind w:left="2880" w:hanging="360"/>
      </w:pPr>
      <w:rPr>
        <w:rFonts w:ascii="Symbol" w:hAnsi="Symbol" w:hint="default"/>
      </w:rPr>
    </w:lvl>
    <w:lvl w:ilvl="4" w:tplc="3FA026FA">
      <w:start w:val="1"/>
      <w:numFmt w:val="bullet"/>
      <w:lvlText w:val="o"/>
      <w:lvlJc w:val="left"/>
      <w:pPr>
        <w:ind w:left="3600" w:hanging="360"/>
      </w:pPr>
      <w:rPr>
        <w:rFonts w:ascii="Courier New" w:hAnsi="Courier New" w:hint="default"/>
      </w:rPr>
    </w:lvl>
    <w:lvl w:ilvl="5" w:tplc="869EBA6E">
      <w:start w:val="1"/>
      <w:numFmt w:val="bullet"/>
      <w:lvlText w:val=""/>
      <w:lvlJc w:val="left"/>
      <w:pPr>
        <w:ind w:left="4320" w:hanging="360"/>
      </w:pPr>
      <w:rPr>
        <w:rFonts w:ascii="Wingdings" w:hAnsi="Wingdings" w:hint="default"/>
      </w:rPr>
    </w:lvl>
    <w:lvl w:ilvl="6" w:tplc="90F0AEB0">
      <w:start w:val="1"/>
      <w:numFmt w:val="bullet"/>
      <w:lvlText w:val=""/>
      <w:lvlJc w:val="left"/>
      <w:pPr>
        <w:ind w:left="5040" w:hanging="360"/>
      </w:pPr>
      <w:rPr>
        <w:rFonts w:ascii="Symbol" w:hAnsi="Symbol" w:hint="default"/>
      </w:rPr>
    </w:lvl>
    <w:lvl w:ilvl="7" w:tplc="4574C8F0">
      <w:start w:val="1"/>
      <w:numFmt w:val="bullet"/>
      <w:lvlText w:val="o"/>
      <w:lvlJc w:val="left"/>
      <w:pPr>
        <w:ind w:left="5760" w:hanging="360"/>
      </w:pPr>
      <w:rPr>
        <w:rFonts w:ascii="Courier New" w:hAnsi="Courier New" w:hint="default"/>
      </w:rPr>
    </w:lvl>
    <w:lvl w:ilvl="8" w:tplc="15164E6A">
      <w:start w:val="1"/>
      <w:numFmt w:val="bullet"/>
      <w:lvlText w:val=""/>
      <w:lvlJc w:val="left"/>
      <w:pPr>
        <w:ind w:left="6480" w:hanging="360"/>
      </w:pPr>
      <w:rPr>
        <w:rFonts w:ascii="Wingdings" w:hAnsi="Wingdings" w:hint="default"/>
      </w:rPr>
    </w:lvl>
  </w:abstractNum>
  <w:abstractNum w:abstractNumId="4" w15:restartNumberingAfterBreak="0">
    <w:nsid w:val="46053954"/>
    <w:multiLevelType w:val="hybridMultilevel"/>
    <w:tmpl w:val="8988BDDE"/>
    <w:lvl w:ilvl="0" w:tplc="6F78DF48">
      <w:start w:val="1"/>
      <w:numFmt w:val="bullet"/>
      <w:lvlText w:val="-"/>
      <w:lvlJc w:val="left"/>
      <w:pPr>
        <w:ind w:left="720" w:hanging="360"/>
      </w:pPr>
      <w:rPr>
        <w:rFonts w:ascii="Aptos" w:hAnsi="Aptos" w:hint="default"/>
      </w:rPr>
    </w:lvl>
    <w:lvl w:ilvl="1" w:tplc="4E52F350">
      <w:start w:val="1"/>
      <w:numFmt w:val="bullet"/>
      <w:lvlText w:val="o"/>
      <w:lvlJc w:val="left"/>
      <w:pPr>
        <w:ind w:left="1440" w:hanging="360"/>
      </w:pPr>
      <w:rPr>
        <w:rFonts w:ascii="Courier New" w:hAnsi="Courier New" w:hint="default"/>
      </w:rPr>
    </w:lvl>
    <w:lvl w:ilvl="2" w:tplc="CDA4C03A">
      <w:start w:val="1"/>
      <w:numFmt w:val="bullet"/>
      <w:lvlText w:val=""/>
      <w:lvlJc w:val="left"/>
      <w:pPr>
        <w:ind w:left="2160" w:hanging="360"/>
      </w:pPr>
      <w:rPr>
        <w:rFonts w:ascii="Wingdings" w:hAnsi="Wingdings" w:hint="default"/>
      </w:rPr>
    </w:lvl>
    <w:lvl w:ilvl="3" w:tplc="FFB688CE">
      <w:start w:val="1"/>
      <w:numFmt w:val="bullet"/>
      <w:lvlText w:val=""/>
      <w:lvlJc w:val="left"/>
      <w:pPr>
        <w:ind w:left="2880" w:hanging="360"/>
      </w:pPr>
      <w:rPr>
        <w:rFonts w:ascii="Symbol" w:hAnsi="Symbol" w:hint="default"/>
      </w:rPr>
    </w:lvl>
    <w:lvl w:ilvl="4" w:tplc="AF640A96">
      <w:start w:val="1"/>
      <w:numFmt w:val="bullet"/>
      <w:lvlText w:val="o"/>
      <w:lvlJc w:val="left"/>
      <w:pPr>
        <w:ind w:left="3600" w:hanging="360"/>
      </w:pPr>
      <w:rPr>
        <w:rFonts w:ascii="Courier New" w:hAnsi="Courier New" w:hint="default"/>
      </w:rPr>
    </w:lvl>
    <w:lvl w:ilvl="5" w:tplc="6BDC52C0">
      <w:start w:val="1"/>
      <w:numFmt w:val="bullet"/>
      <w:lvlText w:val=""/>
      <w:lvlJc w:val="left"/>
      <w:pPr>
        <w:ind w:left="4320" w:hanging="360"/>
      </w:pPr>
      <w:rPr>
        <w:rFonts w:ascii="Wingdings" w:hAnsi="Wingdings" w:hint="default"/>
      </w:rPr>
    </w:lvl>
    <w:lvl w:ilvl="6" w:tplc="F9AA767C">
      <w:start w:val="1"/>
      <w:numFmt w:val="bullet"/>
      <w:lvlText w:val=""/>
      <w:lvlJc w:val="left"/>
      <w:pPr>
        <w:ind w:left="5040" w:hanging="360"/>
      </w:pPr>
      <w:rPr>
        <w:rFonts w:ascii="Symbol" w:hAnsi="Symbol" w:hint="default"/>
      </w:rPr>
    </w:lvl>
    <w:lvl w:ilvl="7" w:tplc="072EB31E">
      <w:start w:val="1"/>
      <w:numFmt w:val="bullet"/>
      <w:lvlText w:val="o"/>
      <w:lvlJc w:val="left"/>
      <w:pPr>
        <w:ind w:left="5760" w:hanging="360"/>
      </w:pPr>
      <w:rPr>
        <w:rFonts w:ascii="Courier New" w:hAnsi="Courier New" w:hint="default"/>
      </w:rPr>
    </w:lvl>
    <w:lvl w:ilvl="8" w:tplc="1AA80DC8">
      <w:start w:val="1"/>
      <w:numFmt w:val="bullet"/>
      <w:lvlText w:val=""/>
      <w:lvlJc w:val="left"/>
      <w:pPr>
        <w:ind w:left="6480" w:hanging="360"/>
      </w:pPr>
      <w:rPr>
        <w:rFonts w:ascii="Wingdings" w:hAnsi="Wingdings" w:hint="default"/>
      </w:rPr>
    </w:lvl>
  </w:abstractNum>
  <w:abstractNum w:abstractNumId="5" w15:restartNumberingAfterBreak="0">
    <w:nsid w:val="5C3812D2"/>
    <w:multiLevelType w:val="hybridMultilevel"/>
    <w:tmpl w:val="7962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446B5"/>
    <w:multiLevelType w:val="hybridMultilevel"/>
    <w:tmpl w:val="CA522348"/>
    <w:lvl w:ilvl="0" w:tplc="0B6A5BCC">
      <w:start w:val="1"/>
      <w:numFmt w:val="bullet"/>
      <w:lvlText w:val="-"/>
      <w:lvlJc w:val="left"/>
      <w:pPr>
        <w:ind w:left="720" w:hanging="360"/>
      </w:pPr>
      <w:rPr>
        <w:rFonts w:ascii="Aptos" w:hAnsi="Aptos" w:hint="default"/>
      </w:rPr>
    </w:lvl>
    <w:lvl w:ilvl="1" w:tplc="2668DAA4">
      <w:start w:val="1"/>
      <w:numFmt w:val="bullet"/>
      <w:lvlText w:val="o"/>
      <w:lvlJc w:val="left"/>
      <w:pPr>
        <w:ind w:left="1440" w:hanging="360"/>
      </w:pPr>
      <w:rPr>
        <w:rFonts w:ascii="Courier New" w:hAnsi="Courier New" w:hint="default"/>
      </w:rPr>
    </w:lvl>
    <w:lvl w:ilvl="2" w:tplc="3E28E810">
      <w:start w:val="1"/>
      <w:numFmt w:val="bullet"/>
      <w:lvlText w:val=""/>
      <w:lvlJc w:val="left"/>
      <w:pPr>
        <w:ind w:left="2160" w:hanging="360"/>
      </w:pPr>
      <w:rPr>
        <w:rFonts w:ascii="Wingdings" w:hAnsi="Wingdings" w:hint="default"/>
      </w:rPr>
    </w:lvl>
    <w:lvl w:ilvl="3" w:tplc="2E76AFEA">
      <w:start w:val="1"/>
      <w:numFmt w:val="bullet"/>
      <w:lvlText w:val=""/>
      <w:lvlJc w:val="left"/>
      <w:pPr>
        <w:ind w:left="2880" w:hanging="360"/>
      </w:pPr>
      <w:rPr>
        <w:rFonts w:ascii="Symbol" w:hAnsi="Symbol" w:hint="default"/>
      </w:rPr>
    </w:lvl>
    <w:lvl w:ilvl="4" w:tplc="3F5E5120">
      <w:start w:val="1"/>
      <w:numFmt w:val="bullet"/>
      <w:lvlText w:val="o"/>
      <w:lvlJc w:val="left"/>
      <w:pPr>
        <w:ind w:left="3600" w:hanging="360"/>
      </w:pPr>
      <w:rPr>
        <w:rFonts w:ascii="Courier New" w:hAnsi="Courier New" w:hint="default"/>
      </w:rPr>
    </w:lvl>
    <w:lvl w:ilvl="5" w:tplc="899CC2C0">
      <w:start w:val="1"/>
      <w:numFmt w:val="bullet"/>
      <w:lvlText w:val=""/>
      <w:lvlJc w:val="left"/>
      <w:pPr>
        <w:ind w:left="4320" w:hanging="360"/>
      </w:pPr>
      <w:rPr>
        <w:rFonts w:ascii="Wingdings" w:hAnsi="Wingdings" w:hint="default"/>
      </w:rPr>
    </w:lvl>
    <w:lvl w:ilvl="6" w:tplc="C434A884">
      <w:start w:val="1"/>
      <w:numFmt w:val="bullet"/>
      <w:lvlText w:val=""/>
      <w:lvlJc w:val="left"/>
      <w:pPr>
        <w:ind w:left="5040" w:hanging="360"/>
      </w:pPr>
      <w:rPr>
        <w:rFonts w:ascii="Symbol" w:hAnsi="Symbol" w:hint="default"/>
      </w:rPr>
    </w:lvl>
    <w:lvl w:ilvl="7" w:tplc="8340C486">
      <w:start w:val="1"/>
      <w:numFmt w:val="bullet"/>
      <w:lvlText w:val="o"/>
      <w:lvlJc w:val="left"/>
      <w:pPr>
        <w:ind w:left="5760" w:hanging="360"/>
      </w:pPr>
      <w:rPr>
        <w:rFonts w:ascii="Courier New" w:hAnsi="Courier New" w:hint="default"/>
      </w:rPr>
    </w:lvl>
    <w:lvl w:ilvl="8" w:tplc="04FEC160">
      <w:start w:val="1"/>
      <w:numFmt w:val="bullet"/>
      <w:lvlText w:val=""/>
      <w:lvlJc w:val="left"/>
      <w:pPr>
        <w:ind w:left="6480" w:hanging="360"/>
      </w:pPr>
      <w:rPr>
        <w:rFonts w:ascii="Wingdings" w:hAnsi="Wingdings" w:hint="default"/>
      </w:rPr>
    </w:lvl>
  </w:abstractNum>
  <w:abstractNum w:abstractNumId="7" w15:restartNumberingAfterBreak="0">
    <w:nsid w:val="7F441595"/>
    <w:multiLevelType w:val="hybridMultilevel"/>
    <w:tmpl w:val="464AE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3900825">
    <w:abstractNumId w:val="6"/>
  </w:num>
  <w:num w:numId="2" w16cid:durableId="1139877718">
    <w:abstractNumId w:val="0"/>
  </w:num>
  <w:num w:numId="3" w16cid:durableId="1919247122">
    <w:abstractNumId w:val="1"/>
  </w:num>
  <w:num w:numId="4" w16cid:durableId="1366952697">
    <w:abstractNumId w:val="4"/>
  </w:num>
  <w:num w:numId="5" w16cid:durableId="1163395671">
    <w:abstractNumId w:val="3"/>
  </w:num>
  <w:num w:numId="6" w16cid:durableId="329135512">
    <w:abstractNumId w:val="2"/>
  </w:num>
  <w:num w:numId="7" w16cid:durableId="463349349">
    <w:abstractNumId w:val="5"/>
  </w:num>
  <w:num w:numId="8" w16cid:durableId="414866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6DAE3"/>
    <w:rsid w:val="00007307"/>
    <w:rsid w:val="000209A1"/>
    <w:rsid w:val="00031D93"/>
    <w:rsid w:val="00040CBD"/>
    <w:rsid w:val="000633D0"/>
    <w:rsid w:val="000655EB"/>
    <w:rsid w:val="00076C41"/>
    <w:rsid w:val="00095406"/>
    <w:rsid w:val="000A5109"/>
    <w:rsid w:val="000D0F56"/>
    <w:rsid w:val="000D6013"/>
    <w:rsid w:val="000E7FD4"/>
    <w:rsid w:val="00113A71"/>
    <w:rsid w:val="00120D3B"/>
    <w:rsid w:val="001433E2"/>
    <w:rsid w:val="0014384B"/>
    <w:rsid w:val="00162ADC"/>
    <w:rsid w:val="00166C51"/>
    <w:rsid w:val="001B452F"/>
    <w:rsid w:val="001E2A96"/>
    <w:rsid w:val="001E4AB4"/>
    <w:rsid w:val="00202A91"/>
    <w:rsid w:val="0020AAE1"/>
    <w:rsid w:val="002110C9"/>
    <w:rsid w:val="00217FCE"/>
    <w:rsid w:val="00247530"/>
    <w:rsid w:val="00266355"/>
    <w:rsid w:val="0027122F"/>
    <w:rsid w:val="00292294"/>
    <w:rsid w:val="002E2A3B"/>
    <w:rsid w:val="002E696F"/>
    <w:rsid w:val="0031238A"/>
    <w:rsid w:val="00313A9E"/>
    <w:rsid w:val="00325659"/>
    <w:rsid w:val="003266A7"/>
    <w:rsid w:val="003722C8"/>
    <w:rsid w:val="003745D5"/>
    <w:rsid w:val="003C607C"/>
    <w:rsid w:val="003E7AF7"/>
    <w:rsid w:val="003F275E"/>
    <w:rsid w:val="003F55A1"/>
    <w:rsid w:val="004041A5"/>
    <w:rsid w:val="00423BAA"/>
    <w:rsid w:val="00441C68"/>
    <w:rsid w:val="004610DB"/>
    <w:rsid w:val="0046216E"/>
    <w:rsid w:val="004675D9"/>
    <w:rsid w:val="004A535B"/>
    <w:rsid w:val="004B6E82"/>
    <w:rsid w:val="00520DA8"/>
    <w:rsid w:val="00554951"/>
    <w:rsid w:val="005B48D1"/>
    <w:rsid w:val="005F06EB"/>
    <w:rsid w:val="005F0860"/>
    <w:rsid w:val="006073FC"/>
    <w:rsid w:val="006530BA"/>
    <w:rsid w:val="0066592A"/>
    <w:rsid w:val="00672271"/>
    <w:rsid w:val="006A2A0C"/>
    <w:rsid w:val="006B52AB"/>
    <w:rsid w:val="006C2525"/>
    <w:rsid w:val="00703295"/>
    <w:rsid w:val="00720EE8"/>
    <w:rsid w:val="00727571"/>
    <w:rsid w:val="007774EC"/>
    <w:rsid w:val="007778F1"/>
    <w:rsid w:val="007927B7"/>
    <w:rsid w:val="00813995"/>
    <w:rsid w:val="00841F7B"/>
    <w:rsid w:val="00860448"/>
    <w:rsid w:val="00865A2E"/>
    <w:rsid w:val="00866C1B"/>
    <w:rsid w:val="008744B8"/>
    <w:rsid w:val="008B02C9"/>
    <w:rsid w:val="008B2DB0"/>
    <w:rsid w:val="008C78A7"/>
    <w:rsid w:val="008F1D1E"/>
    <w:rsid w:val="0090179A"/>
    <w:rsid w:val="00904C70"/>
    <w:rsid w:val="00951894"/>
    <w:rsid w:val="00955A25"/>
    <w:rsid w:val="00965163"/>
    <w:rsid w:val="00976CF7"/>
    <w:rsid w:val="009A4187"/>
    <w:rsid w:val="009C1BE8"/>
    <w:rsid w:val="00A01320"/>
    <w:rsid w:val="00A10583"/>
    <w:rsid w:val="00A20400"/>
    <w:rsid w:val="00A60584"/>
    <w:rsid w:val="00A67777"/>
    <w:rsid w:val="00AA1657"/>
    <w:rsid w:val="00AB46DD"/>
    <w:rsid w:val="00AC3312"/>
    <w:rsid w:val="00AC755E"/>
    <w:rsid w:val="00AE45DF"/>
    <w:rsid w:val="00B32C4F"/>
    <w:rsid w:val="00B44F4A"/>
    <w:rsid w:val="00B57219"/>
    <w:rsid w:val="00B65BAF"/>
    <w:rsid w:val="00B66338"/>
    <w:rsid w:val="00B7299B"/>
    <w:rsid w:val="00B77C33"/>
    <w:rsid w:val="00B84054"/>
    <w:rsid w:val="00BA65A4"/>
    <w:rsid w:val="00BC3C2B"/>
    <w:rsid w:val="00BF1AC6"/>
    <w:rsid w:val="00BF54A8"/>
    <w:rsid w:val="00C1193F"/>
    <w:rsid w:val="00C15707"/>
    <w:rsid w:val="00C30BF6"/>
    <w:rsid w:val="00C5139D"/>
    <w:rsid w:val="00C53033"/>
    <w:rsid w:val="00CC6A4C"/>
    <w:rsid w:val="00CD6A8C"/>
    <w:rsid w:val="00CF4C03"/>
    <w:rsid w:val="00D00551"/>
    <w:rsid w:val="00D13F2F"/>
    <w:rsid w:val="00D22ADF"/>
    <w:rsid w:val="00D230DA"/>
    <w:rsid w:val="00D305FE"/>
    <w:rsid w:val="00D433EF"/>
    <w:rsid w:val="00D81BB5"/>
    <w:rsid w:val="00D836EF"/>
    <w:rsid w:val="00DC2103"/>
    <w:rsid w:val="00DE2358"/>
    <w:rsid w:val="00DE4FC0"/>
    <w:rsid w:val="00E059DA"/>
    <w:rsid w:val="00E15DD2"/>
    <w:rsid w:val="00E160BF"/>
    <w:rsid w:val="00E3336C"/>
    <w:rsid w:val="00E36267"/>
    <w:rsid w:val="00E42EAD"/>
    <w:rsid w:val="00E664FC"/>
    <w:rsid w:val="00E75DCA"/>
    <w:rsid w:val="00E82493"/>
    <w:rsid w:val="00EA3CAB"/>
    <w:rsid w:val="00EB26BE"/>
    <w:rsid w:val="00EB53ED"/>
    <w:rsid w:val="00EF1F74"/>
    <w:rsid w:val="00F31792"/>
    <w:rsid w:val="00F45A74"/>
    <w:rsid w:val="00FC12AC"/>
    <w:rsid w:val="00FD59C2"/>
    <w:rsid w:val="025084EA"/>
    <w:rsid w:val="02A2416B"/>
    <w:rsid w:val="031E91B3"/>
    <w:rsid w:val="033E7B0C"/>
    <w:rsid w:val="076D77CB"/>
    <w:rsid w:val="079F4D24"/>
    <w:rsid w:val="07FB804A"/>
    <w:rsid w:val="0B54B5AD"/>
    <w:rsid w:val="0D49570F"/>
    <w:rsid w:val="0DEBEAB5"/>
    <w:rsid w:val="0F39C58C"/>
    <w:rsid w:val="10E6EE67"/>
    <w:rsid w:val="121E4DD4"/>
    <w:rsid w:val="1295794C"/>
    <w:rsid w:val="12C6AB82"/>
    <w:rsid w:val="13A9C493"/>
    <w:rsid w:val="14004DD9"/>
    <w:rsid w:val="153B2441"/>
    <w:rsid w:val="15B3B03A"/>
    <w:rsid w:val="1689EFF8"/>
    <w:rsid w:val="16BDEF06"/>
    <w:rsid w:val="17947C1C"/>
    <w:rsid w:val="180B11F3"/>
    <w:rsid w:val="18DC0565"/>
    <w:rsid w:val="1AF4567B"/>
    <w:rsid w:val="1AFDBDB8"/>
    <w:rsid w:val="1C16752F"/>
    <w:rsid w:val="1CD1FC69"/>
    <w:rsid w:val="1CF49F31"/>
    <w:rsid w:val="1D6A8C0B"/>
    <w:rsid w:val="1DB72C59"/>
    <w:rsid w:val="1E46FC1D"/>
    <w:rsid w:val="2046C084"/>
    <w:rsid w:val="208A88E2"/>
    <w:rsid w:val="21603153"/>
    <w:rsid w:val="23744BE1"/>
    <w:rsid w:val="239349DD"/>
    <w:rsid w:val="2419659F"/>
    <w:rsid w:val="24C901B9"/>
    <w:rsid w:val="25EB00A3"/>
    <w:rsid w:val="27847BF2"/>
    <w:rsid w:val="28ADB744"/>
    <w:rsid w:val="299588B1"/>
    <w:rsid w:val="29EC2BFC"/>
    <w:rsid w:val="2A1E4A68"/>
    <w:rsid w:val="2A446874"/>
    <w:rsid w:val="2A5D71C4"/>
    <w:rsid w:val="2AF1D22E"/>
    <w:rsid w:val="2E4C1808"/>
    <w:rsid w:val="2F06DAE3"/>
    <w:rsid w:val="2F38D91A"/>
    <w:rsid w:val="35837DD4"/>
    <w:rsid w:val="35EBCF83"/>
    <w:rsid w:val="378E7DB6"/>
    <w:rsid w:val="39D239D7"/>
    <w:rsid w:val="3B877549"/>
    <w:rsid w:val="3DE33B1A"/>
    <w:rsid w:val="3ED6F407"/>
    <w:rsid w:val="3F1119D1"/>
    <w:rsid w:val="3F1D9A47"/>
    <w:rsid w:val="3FD139A0"/>
    <w:rsid w:val="40327B07"/>
    <w:rsid w:val="4138B22C"/>
    <w:rsid w:val="424E4808"/>
    <w:rsid w:val="42FA5E2E"/>
    <w:rsid w:val="43018F4A"/>
    <w:rsid w:val="431334F5"/>
    <w:rsid w:val="43BC79C7"/>
    <w:rsid w:val="43C2A6DC"/>
    <w:rsid w:val="45BCCC47"/>
    <w:rsid w:val="473853BE"/>
    <w:rsid w:val="474FAB34"/>
    <w:rsid w:val="4758CD64"/>
    <w:rsid w:val="49AE126B"/>
    <w:rsid w:val="49E38904"/>
    <w:rsid w:val="4A0AC72E"/>
    <w:rsid w:val="4AD8F0A9"/>
    <w:rsid w:val="4B6C0E24"/>
    <w:rsid w:val="4BC8BB79"/>
    <w:rsid w:val="4BE12050"/>
    <w:rsid w:val="4C2D31A2"/>
    <w:rsid w:val="4C8EF4CD"/>
    <w:rsid w:val="4DA225F1"/>
    <w:rsid w:val="4E350CE6"/>
    <w:rsid w:val="4E7528C8"/>
    <w:rsid w:val="4E953341"/>
    <w:rsid w:val="4FD2AAFC"/>
    <w:rsid w:val="50514ED4"/>
    <w:rsid w:val="50958E22"/>
    <w:rsid w:val="511C989B"/>
    <w:rsid w:val="521DA50B"/>
    <w:rsid w:val="52C2CAAA"/>
    <w:rsid w:val="54C859B5"/>
    <w:rsid w:val="56473563"/>
    <w:rsid w:val="5674EFE8"/>
    <w:rsid w:val="56B204F2"/>
    <w:rsid w:val="59F2EC5E"/>
    <w:rsid w:val="5A9C502C"/>
    <w:rsid w:val="5AAD1BF1"/>
    <w:rsid w:val="5AB4A5D0"/>
    <w:rsid w:val="5AF2B4F3"/>
    <w:rsid w:val="5F9F443D"/>
    <w:rsid w:val="6112531A"/>
    <w:rsid w:val="63665C27"/>
    <w:rsid w:val="63ADCF96"/>
    <w:rsid w:val="63DDAF03"/>
    <w:rsid w:val="63EA172C"/>
    <w:rsid w:val="6405E8BC"/>
    <w:rsid w:val="641C4BAD"/>
    <w:rsid w:val="64CCB977"/>
    <w:rsid w:val="650BDEF7"/>
    <w:rsid w:val="651620D6"/>
    <w:rsid w:val="65314EC2"/>
    <w:rsid w:val="6558DCE9"/>
    <w:rsid w:val="663511AC"/>
    <w:rsid w:val="691669E2"/>
    <w:rsid w:val="6AB65353"/>
    <w:rsid w:val="6BE07347"/>
    <w:rsid w:val="6C1089C1"/>
    <w:rsid w:val="6C6412E2"/>
    <w:rsid w:val="6D41B934"/>
    <w:rsid w:val="6D8E06E7"/>
    <w:rsid w:val="6E7F7F44"/>
    <w:rsid w:val="6F4B2935"/>
    <w:rsid w:val="70B4A2C4"/>
    <w:rsid w:val="70EBC61B"/>
    <w:rsid w:val="71547E23"/>
    <w:rsid w:val="72A6835F"/>
    <w:rsid w:val="734B9B0D"/>
    <w:rsid w:val="7443AE5A"/>
    <w:rsid w:val="74E67C30"/>
    <w:rsid w:val="7701D251"/>
    <w:rsid w:val="776A0814"/>
    <w:rsid w:val="798910AC"/>
    <w:rsid w:val="7B1CEDDE"/>
    <w:rsid w:val="7B9C9EF8"/>
    <w:rsid w:val="7C0DEECB"/>
    <w:rsid w:val="7C606A22"/>
    <w:rsid w:val="7C976F05"/>
    <w:rsid w:val="7CC4F30B"/>
    <w:rsid w:val="7D46D5DB"/>
    <w:rsid w:val="7DBB1CB3"/>
    <w:rsid w:val="7EF81744"/>
    <w:rsid w:val="7F93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6DAE3"/>
  <w15:chartTrackingRefBased/>
  <w15:docId w15:val="{A0DD5C14-89EC-4B75-B62B-FAF61241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D8E06E7"/>
    <w:pPr>
      <w:ind w:left="720"/>
      <w:contextualSpacing/>
    </w:pPr>
  </w:style>
  <w:style w:type="character" w:styleId="Hyperlink">
    <w:name w:val="Hyperlink"/>
    <w:basedOn w:val="DefaultParagraphFont"/>
    <w:uiPriority w:val="99"/>
    <w:unhideWhenUsed/>
    <w:rsid w:val="4C8EF4C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53033"/>
    <w:pPr>
      <w:spacing w:after="0" w:line="240" w:lineRule="auto"/>
    </w:pPr>
  </w:style>
  <w:style w:type="character" w:styleId="UnresolvedMention">
    <w:name w:val="Unresolved Mention"/>
    <w:basedOn w:val="DefaultParagraphFont"/>
    <w:uiPriority w:val="99"/>
    <w:semiHidden/>
    <w:unhideWhenUsed/>
    <w:rsid w:val="008F1D1E"/>
    <w:rPr>
      <w:color w:val="605E5C"/>
      <w:shd w:val="clear" w:color="auto" w:fill="E1DFDD"/>
    </w:rPr>
  </w:style>
  <w:style w:type="paragraph" w:styleId="TOCHeading">
    <w:name w:val="TOC Heading"/>
    <w:basedOn w:val="Heading1"/>
    <w:next w:val="Normal"/>
    <w:uiPriority w:val="39"/>
    <w:unhideWhenUsed/>
    <w:qFormat/>
    <w:rsid w:val="00DC2103"/>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DC2103"/>
    <w:pPr>
      <w:spacing w:before="120" w:after="0"/>
    </w:pPr>
    <w:rPr>
      <w:b/>
      <w:bCs/>
      <w:i/>
      <w:iCs/>
    </w:rPr>
  </w:style>
  <w:style w:type="paragraph" w:styleId="TOC2">
    <w:name w:val="toc 2"/>
    <w:basedOn w:val="Normal"/>
    <w:next w:val="Normal"/>
    <w:autoRedefine/>
    <w:uiPriority w:val="39"/>
    <w:semiHidden/>
    <w:unhideWhenUsed/>
    <w:rsid w:val="00DC2103"/>
    <w:pPr>
      <w:spacing w:before="120" w:after="0"/>
      <w:ind w:left="240"/>
    </w:pPr>
    <w:rPr>
      <w:b/>
      <w:bCs/>
      <w:sz w:val="22"/>
      <w:szCs w:val="22"/>
    </w:rPr>
  </w:style>
  <w:style w:type="paragraph" w:styleId="TOC3">
    <w:name w:val="toc 3"/>
    <w:basedOn w:val="Normal"/>
    <w:next w:val="Normal"/>
    <w:autoRedefine/>
    <w:uiPriority w:val="39"/>
    <w:semiHidden/>
    <w:unhideWhenUsed/>
    <w:rsid w:val="00DC2103"/>
    <w:pPr>
      <w:spacing w:after="0"/>
      <w:ind w:left="480"/>
    </w:pPr>
    <w:rPr>
      <w:sz w:val="20"/>
      <w:szCs w:val="20"/>
    </w:rPr>
  </w:style>
  <w:style w:type="paragraph" w:styleId="TOC4">
    <w:name w:val="toc 4"/>
    <w:basedOn w:val="Normal"/>
    <w:next w:val="Normal"/>
    <w:autoRedefine/>
    <w:uiPriority w:val="39"/>
    <w:semiHidden/>
    <w:unhideWhenUsed/>
    <w:rsid w:val="00DC2103"/>
    <w:pPr>
      <w:spacing w:after="0"/>
      <w:ind w:left="720"/>
    </w:pPr>
    <w:rPr>
      <w:sz w:val="20"/>
      <w:szCs w:val="20"/>
    </w:rPr>
  </w:style>
  <w:style w:type="paragraph" w:styleId="TOC5">
    <w:name w:val="toc 5"/>
    <w:basedOn w:val="Normal"/>
    <w:next w:val="Normal"/>
    <w:autoRedefine/>
    <w:uiPriority w:val="39"/>
    <w:semiHidden/>
    <w:unhideWhenUsed/>
    <w:rsid w:val="00DC2103"/>
    <w:pPr>
      <w:spacing w:after="0"/>
      <w:ind w:left="960"/>
    </w:pPr>
    <w:rPr>
      <w:sz w:val="20"/>
      <w:szCs w:val="20"/>
    </w:rPr>
  </w:style>
  <w:style w:type="paragraph" w:styleId="TOC6">
    <w:name w:val="toc 6"/>
    <w:basedOn w:val="Normal"/>
    <w:next w:val="Normal"/>
    <w:autoRedefine/>
    <w:uiPriority w:val="39"/>
    <w:semiHidden/>
    <w:unhideWhenUsed/>
    <w:rsid w:val="00DC2103"/>
    <w:pPr>
      <w:spacing w:after="0"/>
      <w:ind w:left="1200"/>
    </w:pPr>
    <w:rPr>
      <w:sz w:val="20"/>
      <w:szCs w:val="20"/>
    </w:rPr>
  </w:style>
  <w:style w:type="paragraph" w:styleId="TOC7">
    <w:name w:val="toc 7"/>
    <w:basedOn w:val="Normal"/>
    <w:next w:val="Normal"/>
    <w:autoRedefine/>
    <w:uiPriority w:val="39"/>
    <w:semiHidden/>
    <w:unhideWhenUsed/>
    <w:rsid w:val="00DC2103"/>
    <w:pPr>
      <w:spacing w:after="0"/>
      <w:ind w:left="1440"/>
    </w:pPr>
    <w:rPr>
      <w:sz w:val="20"/>
      <w:szCs w:val="20"/>
    </w:rPr>
  </w:style>
  <w:style w:type="paragraph" w:styleId="TOC8">
    <w:name w:val="toc 8"/>
    <w:basedOn w:val="Normal"/>
    <w:next w:val="Normal"/>
    <w:autoRedefine/>
    <w:uiPriority w:val="39"/>
    <w:semiHidden/>
    <w:unhideWhenUsed/>
    <w:rsid w:val="00DC2103"/>
    <w:pPr>
      <w:spacing w:after="0"/>
      <w:ind w:left="1680"/>
    </w:pPr>
    <w:rPr>
      <w:sz w:val="20"/>
      <w:szCs w:val="20"/>
    </w:rPr>
  </w:style>
  <w:style w:type="paragraph" w:styleId="TOC9">
    <w:name w:val="toc 9"/>
    <w:basedOn w:val="Normal"/>
    <w:next w:val="Normal"/>
    <w:autoRedefine/>
    <w:uiPriority w:val="39"/>
    <w:semiHidden/>
    <w:unhideWhenUsed/>
    <w:rsid w:val="00DC2103"/>
    <w:pPr>
      <w:spacing w:after="0"/>
      <w:ind w:left="1920"/>
    </w:pPr>
    <w:rPr>
      <w:sz w:val="20"/>
      <w:szCs w:val="20"/>
    </w:rPr>
  </w:style>
  <w:style w:type="paragraph" w:styleId="NormalWeb">
    <w:name w:val="Normal (Web)"/>
    <w:basedOn w:val="Normal"/>
    <w:uiPriority w:val="99"/>
    <w:unhideWhenUsed/>
    <w:rsid w:val="006A2A0C"/>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mark64g840qg7">
    <w:name w:val="mark64g840qg7"/>
    <w:basedOn w:val="DefaultParagraphFont"/>
    <w:rsid w:val="006A2A0C"/>
  </w:style>
  <w:style w:type="character" w:customStyle="1" w:styleId="markvtmo8smuc">
    <w:name w:val="markvtmo8smuc"/>
    <w:basedOn w:val="DefaultParagraphFont"/>
    <w:rsid w:val="006A2A0C"/>
  </w:style>
  <w:style w:type="character" w:customStyle="1" w:styleId="mark0vmzt5egt">
    <w:name w:val="mark0vmzt5egt"/>
    <w:basedOn w:val="DefaultParagraphFont"/>
    <w:rsid w:val="006A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healthykids.org/wp-content/uploads/2025/09/Grades-Audit-Example-Canada-GM-5.0-with-CAWD-Final.xlsx"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hyperlink" Target="https://www.participaction.com/wp-content/uploads/2024/05/2024-Children-and-Youth-Report-Card-Technical-Report.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ehbCA5m5vVvs3Eu8NzsWVpDgAuRxDhXM/vie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ctivehealthykids.org/wp-content/uploads/2022/09/AHKGA-publication-policy-final.pdf" TargetMode="External"/><Relationship Id="rId4" Type="http://schemas.openxmlformats.org/officeDocument/2006/relationships/settings" Target="settings.xml"/><Relationship Id="rId9" Type="http://schemas.openxmlformats.org/officeDocument/2006/relationships/hyperlink" Target="https://www.activehealthykids.org/2025/06/24/independent-investigation-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9FD2D-DDBC-004F-B6DC-DF533888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Emily</dc:creator>
  <cp:keywords/>
  <dc:description/>
  <cp:lastModifiedBy>Stone, Emily</cp:lastModifiedBy>
  <cp:revision>2</cp:revision>
  <dcterms:created xsi:type="dcterms:W3CDTF">2025-10-06T12:37:00Z</dcterms:created>
  <dcterms:modified xsi:type="dcterms:W3CDTF">2025-10-06T12:37:00Z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c51564da-be77-41ef-8f90-22ff849a0f48</vt:lpwstr>
  </property>
</Properties>
</file>